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BDDC" w14:textId="77777777" w:rsidR="00FE5B59" w:rsidRDefault="00FE5B59" w:rsidP="00AC5543">
      <w:pPr>
        <w:rPr>
          <w:rFonts w:ascii="Times New Roman" w:hAnsi="Times New Roman" w:cs="Times New Roman"/>
          <w:b/>
          <w:sz w:val="28"/>
        </w:rPr>
      </w:pPr>
      <w:bookmarkStart w:id="0" w:name="_GoBack"/>
      <w:bookmarkEnd w:id="0"/>
      <w:r>
        <w:rPr>
          <w:rFonts w:ascii="Times New Roman" w:hAnsi="Times New Roman" w:cs="Times New Roman"/>
          <w:b/>
          <w:sz w:val="28"/>
        </w:rPr>
        <w:t>DESARROLLO PARA TODOS: ¿LOS MODELOS NORTE-EUROPEOS SON UN EJEMPLO PARA HONDURAS?</w:t>
      </w:r>
    </w:p>
    <w:p w14:paraId="4021767E" w14:textId="77777777" w:rsidR="00FE5B59" w:rsidRDefault="00FE5B59" w:rsidP="00CD7BF8">
      <w:pPr>
        <w:spacing w:line="360" w:lineRule="auto"/>
        <w:jc w:val="center"/>
        <w:rPr>
          <w:rFonts w:ascii="Times New Roman" w:hAnsi="Times New Roman" w:cs="Times New Roman"/>
          <w:b/>
          <w:sz w:val="28"/>
        </w:rPr>
      </w:pPr>
    </w:p>
    <w:p w14:paraId="5ECB83E2" w14:textId="77777777" w:rsidR="00FE5B59" w:rsidRDefault="00FE5B59" w:rsidP="00CD7BF8">
      <w:pPr>
        <w:spacing w:line="360" w:lineRule="auto"/>
        <w:jc w:val="both"/>
        <w:rPr>
          <w:rFonts w:ascii="Times New Roman" w:hAnsi="Times New Roman" w:cs="Times New Roman"/>
          <w:b/>
          <w:sz w:val="24"/>
        </w:rPr>
      </w:pPr>
      <w:r>
        <w:rPr>
          <w:rFonts w:ascii="Times New Roman" w:hAnsi="Times New Roman" w:cs="Times New Roman"/>
          <w:b/>
          <w:sz w:val="24"/>
        </w:rPr>
        <w:t>Introducción</w:t>
      </w:r>
    </w:p>
    <w:p w14:paraId="408F5336" w14:textId="77777777" w:rsidR="00FE5B59" w:rsidRDefault="00854837" w:rsidP="00CD7BF8">
      <w:pPr>
        <w:spacing w:line="360" w:lineRule="auto"/>
        <w:ind w:firstLine="709"/>
        <w:jc w:val="both"/>
        <w:rPr>
          <w:rFonts w:ascii="Times New Roman" w:hAnsi="Times New Roman" w:cs="Times New Roman"/>
          <w:sz w:val="24"/>
        </w:rPr>
      </w:pPr>
      <w:r>
        <w:rPr>
          <w:rFonts w:ascii="Times New Roman" w:hAnsi="Times New Roman" w:cs="Times New Roman"/>
          <w:sz w:val="24"/>
        </w:rPr>
        <w:t>Los Estados del norte de Europa poseen una asociación general a un modelo de bienestar propio a ser repetido por los demás países alrededor del mundo</w:t>
      </w:r>
      <w:r w:rsidR="00FE5B59">
        <w:rPr>
          <w:rFonts w:ascii="Times New Roman" w:hAnsi="Times New Roman" w:cs="Times New Roman"/>
          <w:sz w:val="24"/>
        </w:rPr>
        <w:t>.</w:t>
      </w:r>
      <w:r>
        <w:rPr>
          <w:rFonts w:ascii="Times New Roman" w:hAnsi="Times New Roman" w:cs="Times New Roman"/>
          <w:sz w:val="24"/>
        </w:rPr>
        <w:t xml:space="preserve"> Son los países nórdicos esa percepción de democracia y bienestar económico percibidos por los ciudadanos que aspiran por la construcción de un Estado similar en sus territorios. Con modelos de una retribución casi directa de la aportación tributaria en servicios públicos y una vocación política propia a la representación y descentralización, son estructuras estatales sumamente sólidas. El presente informe se basará en dos Estados norte-europeos: Islandia y Dinamarca, con el objetivo de determinar si sus modelos son aplicables en Honduras.</w:t>
      </w:r>
    </w:p>
    <w:p w14:paraId="55781DDA" w14:textId="77777777" w:rsidR="00D80046" w:rsidRDefault="00D80046" w:rsidP="00CD7BF8">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Actualmente, la economía islandesa depende en su mayoría en la industria pesquera, ya que genera un </w:t>
      </w:r>
      <w:r w:rsidRPr="00401CF8">
        <w:rPr>
          <w:rFonts w:ascii="Times New Roman" w:hAnsi="Times New Roman" w:cs="Times New Roman"/>
          <w:sz w:val="24"/>
        </w:rPr>
        <w:t>40%</w:t>
      </w:r>
      <w:r>
        <w:rPr>
          <w:rFonts w:ascii="Times New Roman" w:hAnsi="Times New Roman" w:cs="Times New Roman"/>
          <w:sz w:val="24"/>
        </w:rPr>
        <w:t xml:space="preserve"> de los ingresos de exportación, </w:t>
      </w:r>
      <w:r w:rsidRPr="00401CF8">
        <w:rPr>
          <w:rFonts w:ascii="Times New Roman" w:hAnsi="Times New Roman" w:cs="Times New Roman"/>
          <w:sz w:val="24"/>
        </w:rPr>
        <w:t xml:space="preserve">más del 12% del PIB, y </w:t>
      </w:r>
      <w:r>
        <w:rPr>
          <w:rFonts w:ascii="Times New Roman" w:hAnsi="Times New Roman" w:cs="Times New Roman"/>
          <w:sz w:val="24"/>
        </w:rPr>
        <w:t xml:space="preserve">un 7% de la población es empleada por este sector. No obstante, debido a que este sector está sometido a riesgos como la </w:t>
      </w:r>
      <w:r w:rsidRPr="00401CF8">
        <w:rPr>
          <w:rFonts w:ascii="Times New Roman" w:hAnsi="Times New Roman" w:cs="Times New Roman"/>
          <w:sz w:val="24"/>
        </w:rPr>
        <w:t>disminución de las poblaciones de peces, fluctuaciones de los precios mundiales de sus</w:t>
      </w:r>
      <w:r>
        <w:rPr>
          <w:rFonts w:ascii="Times New Roman" w:hAnsi="Times New Roman" w:cs="Times New Roman"/>
          <w:sz w:val="24"/>
        </w:rPr>
        <w:t xml:space="preserve"> productos exportados, etc., el país ha diversificado su economía. Hoy en día, Islandia tiene una presencia en las </w:t>
      </w:r>
      <w:r w:rsidRPr="00401CF8">
        <w:rPr>
          <w:rFonts w:ascii="Times New Roman" w:hAnsi="Times New Roman" w:cs="Times New Roman"/>
          <w:sz w:val="24"/>
        </w:rPr>
        <w:t>industrias</w:t>
      </w:r>
      <w:r>
        <w:rPr>
          <w:rFonts w:ascii="Times New Roman" w:hAnsi="Times New Roman" w:cs="Times New Roman"/>
          <w:sz w:val="24"/>
        </w:rPr>
        <w:t xml:space="preserve"> manufactureras y de servicios (</w:t>
      </w:r>
      <w:r w:rsidRPr="00401CF8">
        <w:rPr>
          <w:rFonts w:ascii="Times New Roman" w:hAnsi="Times New Roman" w:cs="Times New Roman"/>
          <w:sz w:val="24"/>
        </w:rPr>
        <w:t>en la producción de software, biotecnología y turismo</w:t>
      </w:r>
      <w:r>
        <w:rPr>
          <w:rFonts w:ascii="Times New Roman" w:hAnsi="Times New Roman" w:cs="Times New Roman"/>
          <w:sz w:val="24"/>
        </w:rPr>
        <w:t>).</w:t>
      </w:r>
    </w:p>
    <w:p w14:paraId="7C1E08DC" w14:textId="77777777" w:rsidR="00854837" w:rsidRPr="00FE5B59" w:rsidRDefault="00854837" w:rsidP="00CD7BF8">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En cuanto a Dinamarca, su economía </w:t>
      </w:r>
      <w:r w:rsidR="00F61195">
        <w:rPr>
          <w:rFonts w:ascii="Times New Roman" w:hAnsi="Times New Roman" w:cs="Times New Roman"/>
          <w:sz w:val="24"/>
        </w:rPr>
        <w:t>se sustenta mediante la exportación de maquinaria, instrumentos y productos alimenticios, del mismo modo que depende de las importaciones de materia prima de regiones extranjeras. Dinamarca no posee dependencia de los servicios de energía del extranjero, lo cual representa una ventaja ante Honduras con una alta deuda en los servicios de energía, los cuales se privatizaron recientemente.</w:t>
      </w:r>
    </w:p>
    <w:p w14:paraId="2746E9DE" w14:textId="77777777" w:rsidR="00FE5B59" w:rsidRDefault="00FE5B59" w:rsidP="00CD7BF8">
      <w:pPr>
        <w:spacing w:line="360" w:lineRule="auto"/>
        <w:jc w:val="both"/>
        <w:rPr>
          <w:rFonts w:ascii="Times New Roman" w:hAnsi="Times New Roman" w:cs="Times New Roman"/>
          <w:b/>
          <w:sz w:val="24"/>
        </w:rPr>
      </w:pPr>
    </w:p>
    <w:p w14:paraId="6686AC8F" w14:textId="77777777" w:rsidR="00837A5E" w:rsidRPr="0095722A" w:rsidRDefault="0095722A" w:rsidP="00CD7BF8">
      <w:pPr>
        <w:spacing w:line="360" w:lineRule="auto"/>
        <w:jc w:val="both"/>
        <w:rPr>
          <w:rFonts w:ascii="Times New Roman" w:hAnsi="Times New Roman" w:cs="Times New Roman"/>
          <w:b/>
          <w:sz w:val="24"/>
        </w:rPr>
      </w:pPr>
      <w:r w:rsidRPr="0095722A">
        <w:rPr>
          <w:rFonts w:ascii="Times New Roman" w:hAnsi="Times New Roman" w:cs="Times New Roman"/>
          <w:b/>
          <w:sz w:val="24"/>
        </w:rPr>
        <w:t>Islandia</w:t>
      </w:r>
    </w:p>
    <w:p w14:paraId="5796CBA8" w14:textId="77777777" w:rsidR="00FE5B59" w:rsidRPr="00FE5B59" w:rsidRDefault="00677C5D" w:rsidP="00CD7BF8">
      <w:pPr>
        <w:pStyle w:val="Prrafodelista"/>
        <w:numPr>
          <w:ilvl w:val="0"/>
          <w:numId w:val="1"/>
        </w:numPr>
        <w:tabs>
          <w:tab w:val="left" w:pos="993"/>
        </w:tabs>
        <w:spacing w:line="360" w:lineRule="auto"/>
        <w:ind w:left="0" w:firstLine="709"/>
        <w:jc w:val="both"/>
        <w:rPr>
          <w:rFonts w:ascii="Times New Roman" w:hAnsi="Times New Roman" w:cs="Times New Roman"/>
          <w:b/>
          <w:sz w:val="24"/>
        </w:rPr>
      </w:pPr>
      <w:r w:rsidRPr="00FE5B59">
        <w:rPr>
          <w:rFonts w:ascii="Times New Roman" w:hAnsi="Times New Roman" w:cs="Times New Roman"/>
          <w:b/>
          <w:sz w:val="24"/>
        </w:rPr>
        <w:t>Información</w:t>
      </w:r>
      <w:r w:rsidR="0095722A" w:rsidRPr="00FE5B59">
        <w:rPr>
          <w:rFonts w:ascii="Times New Roman" w:hAnsi="Times New Roman" w:cs="Times New Roman"/>
          <w:b/>
          <w:sz w:val="24"/>
        </w:rPr>
        <w:t xml:space="preserve"> </w:t>
      </w:r>
      <w:r w:rsidR="00FE5B59">
        <w:rPr>
          <w:rFonts w:ascii="Times New Roman" w:hAnsi="Times New Roman" w:cs="Times New Roman"/>
          <w:b/>
          <w:sz w:val="24"/>
        </w:rPr>
        <w:t>g</w:t>
      </w:r>
      <w:r w:rsidR="0095722A" w:rsidRPr="00FE5B59">
        <w:rPr>
          <w:rFonts w:ascii="Times New Roman" w:hAnsi="Times New Roman" w:cs="Times New Roman"/>
          <w:b/>
          <w:sz w:val="24"/>
        </w:rPr>
        <w:t>eneral</w:t>
      </w:r>
      <w:r w:rsidR="00FE5B59">
        <w:rPr>
          <w:rFonts w:ascii="Times New Roman" w:hAnsi="Times New Roman" w:cs="Times New Roman"/>
          <w:b/>
          <w:sz w:val="24"/>
        </w:rPr>
        <w:t xml:space="preserve">. </w:t>
      </w:r>
      <w:r w:rsidR="00950507" w:rsidRPr="00FE5B59">
        <w:rPr>
          <w:rFonts w:ascii="Times New Roman" w:hAnsi="Times New Roman" w:cs="Times New Roman"/>
          <w:sz w:val="24"/>
        </w:rPr>
        <w:t xml:space="preserve">Islandia </w:t>
      </w:r>
      <w:r w:rsidR="003B48FB" w:rsidRPr="00FE5B59">
        <w:rPr>
          <w:rFonts w:ascii="Times New Roman" w:hAnsi="Times New Roman" w:cs="Times New Roman"/>
          <w:sz w:val="24"/>
        </w:rPr>
        <w:t>está</w:t>
      </w:r>
      <w:r w:rsidR="00950507" w:rsidRPr="00FE5B59">
        <w:rPr>
          <w:rFonts w:ascii="Times New Roman" w:hAnsi="Times New Roman" w:cs="Times New Roman"/>
          <w:sz w:val="24"/>
        </w:rPr>
        <w:t xml:space="preserve"> ubicada en el norte de Europa con </w:t>
      </w:r>
      <w:r w:rsidR="003B48FB" w:rsidRPr="00FE5B59">
        <w:rPr>
          <w:rFonts w:ascii="Times New Roman" w:hAnsi="Times New Roman" w:cs="Times New Roman"/>
          <w:sz w:val="24"/>
        </w:rPr>
        <w:t>una superficie de 103,</w:t>
      </w:r>
      <w:r w:rsidR="0095722A" w:rsidRPr="00FE5B59">
        <w:rPr>
          <w:rFonts w:ascii="Times New Roman" w:hAnsi="Times New Roman" w:cs="Times New Roman"/>
          <w:sz w:val="24"/>
        </w:rPr>
        <w:t xml:space="preserve">000 </w:t>
      </w:r>
      <w:r w:rsidR="00FE5B59">
        <w:rPr>
          <w:rFonts w:ascii="Times New Roman" w:hAnsi="Times New Roman" w:cs="Times New Roman"/>
          <w:sz w:val="24"/>
        </w:rPr>
        <w:t>k</w:t>
      </w:r>
      <w:r w:rsidR="0095722A" w:rsidRPr="00FE5B59">
        <w:rPr>
          <w:rFonts w:ascii="Times New Roman" w:hAnsi="Times New Roman" w:cs="Times New Roman"/>
          <w:sz w:val="24"/>
        </w:rPr>
        <w:t>m</w:t>
      </w:r>
      <w:r w:rsidR="00950507" w:rsidRPr="00FE5B59">
        <w:rPr>
          <w:rFonts w:ascii="Times New Roman" w:hAnsi="Times New Roman" w:cs="Times New Roman"/>
          <w:sz w:val="24"/>
        </w:rPr>
        <w:t>²</w:t>
      </w:r>
      <w:r w:rsidR="0095722A" w:rsidRPr="00FE5B59">
        <w:rPr>
          <w:rFonts w:ascii="Times New Roman" w:hAnsi="Times New Roman" w:cs="Times New Roman"/>
          <w:sz w:val="24"/>
        </w:rPr>
        <w:t>.</w:t>
      </w:r>
      <w:r w:rsidR="002E50EA" w:rsidRPr="00FE5B59">
        <w:rPr>
          <w:rFonts w:ascii="Times New Roman" w:hAnsi="Times New Roman" w:cs="Times New Roman"/>
          <w:sz w:val="24"/>
        </w:rPr>
        <w:t xml:space="preserve"> </w:t>
      </w:r>
      <w:r w:rsidR="00F755F3">
        <w:rPr>
          <w:rFonts w:ascii="Times New Roman" w:hAnsi="Times New Roman" w:cs="Times New Roman"/>
          <w:sz w:val="24"/>
        </w:rPr>
        <w:t>T</w:t>
      </w:r>
      <w:r w:rsidR="003B48FB" w:rsidRPr="00FE5B59">
        <w:rPr>
          <w:rFonts w:ascii="Times New Roman" w:hAnsi="Times New Roman" w:cs="Times New Roman"/>
          <w:sz w:val="24"/>
        </w:rPr>
        <w:t xml:space="preserve">iene una población de 348,450 personas; el cual indica que tiene </w:t>
      </w:r>
      <w:r w:rsidR="003B48FB" w:rsidRPr="00FE5B59">
        <w:rPr>
          <w:rFonts w:ascii="Times New Roman" w:hAnsi="Times New Roman" w:cs="Times New Roman"/>
          <w:sz w:val="24"/>
        </w:rPr>
        <w:lastRenderedPageBreak/>
        <w:t xml:space="preserve">una baja densidad de población. </w:t>
      </w:r>
      <w:r w:rsidR="0095722A" w:rsidRPr="00FE5B59">
        <w:rPr>
          <w:rFonts w:ascii="Times New Roman" w:hAnsi="Times New Roman" w:cs="Times New Roman"/>
          <w:sz w:val="24"/>
        </w:rPr>
        <w:t xml:space="preserve">Su capital es Reikiavik </w:t>
      </w:r>
      <w:r w:rsidR="002E50EA" w:rsidRPr="00FE5B59">
        <w:rPr>
          <w:rFonts w:ascii="Times New Roman" w:hAnsi="Times New Roman" w:cs="Times New Roman"/>
          <w:sz w:val="24"/>
        </w:rPr>
        <w:t xml:space="preserve">y su moneda </w:t>
      </w:r>
      <w:r w:rsidR="007B48DE" w:rsidRPr="00FE5B59">
        <w:rPr>
          <w:rFonts w:ascii="Times New Roman" w:hAnsi="Times New Roman" w:cs="Times New Roman"/>
          <w:sz w:val="24"/>
        </w:rPr>
        <w:t>c</w:t>
      </w:r>
      <w:r w:rsidR="0095722A" w:rsidRPr="00FE5B59">
        <w:rPr>
          <w:rFonts w:ascii="Times New Roman" w:hAnsi="Times New Roman" w:cs="Times New Roman"/>
          <w:sz w:val="24"/>
        </w:rPr>
        <w:t>oronas islandesas.</w:t>
      </w:r>
      <w:r w:rsidR="00FE5B59">
        <w:rPr>
          <w:rFonts w:ascii="Times New Roman" w:hAnsi="Times New Roman" w:cs="Times New Roman"/>
          <w:sz w:val="24"/>
        </w:rPr>
        <w:t xml:space="preserve"> </w:t>
      </w:r>
      <w:r w:rsidR="002E50EA" w:rsidRPr="00FE5B59">
        <w:rPr>
          <w:rFonts w:ascii="Times New Roman" w:hAnsi="Times New Roman" w:cs="Times New Roman"/>
          <w:sz w:val="24"/>
        </w:rPr>
        <w:t xml:space="preserve">Islandia en los últimos años se ha convertido en un caso ejemplar debido a los índices macro y micro económicos que presenta. </w:t>
      </w:r>
      <w:r w:rsidR="0095722A" w:rsidRPr="00FE5B59">
        <w:rPr>
          <w:rFonts w:ascii="Times New Roman" w:hAnsi="Times New Roman" w:cs="Times New Roman"/>
          <w:sz w:val="24"/>
        </w:rPr>
        <w:t xml:space="preserve">Islandia </w:t>
      </w:r>
      <w:r w:rsidRPr="00FE5B59">
        <w:rPr>
          <w:rFonts w:ascii="Times New Roman" w:hAnsi="Times New Roman" w:cs="Times New Roman"/>
          <w:sz w:val="24"/>
        </w:rPr>
        <w:t>está</w:t>
      </w:r>
      <w:r w:rsidR="002E50EA" w:rsidRPr="00FE5B59">
        <w:rPr>
          <w:rFonts w:ascii="Times New Roman" w:hAnsi="Times New Roman" w:cs="Times New Roman"/>
          <w:sz w:val="24"/>
        </w:rPr>
        <w:t xml:space="preserve"> situada como</w:t>
      </w:r>
      <w:r w:rsidR="0095722A" w:rsidRPr="00FE5B59">
        <w:rPr>
          <w:rFonts w:ascii="Times New Roman" w:hAnsi="Times New Roman" w:cs="Times New Roman"/>
          <w:sz w:val="24"/>
        </w:rPr>
        <w:t xml:space="preserve"> la economí</w:t>
      </w:r>
      <w:r w:rsidR="00344412" w:rsidRPr="00FE5B59">
        <w:rPr>
          <w:rFonts w:ascii="Times New Roman" w:hAnsi="Times New Roman" w:cs="Times New Roman"/>
          <w:sz w:val="24"/>
        </w:rPr>
        <w:t>a número 107 por volumen de</w:t>
      </w:r>
      <w:r w:rsidR="007B48DE" w:rsidRPr="00FE5B59">
        <w:rPr>
          <w:rFonts w:ascii="Times New Roman" w:hAnsi="Times New Roman" w:cs="Times New Roman"/>
          <w:sz w:val="24"/>
        </w:rPr>
        <w:t>l</w:t>
      </w:r>
      <w:r w:rsidR="00344412" w:rsidRPr="00FE5B59">
        <w:rPr>
          <w:rFonts w:ascii="Times New Roman" w:hAnsi="Times New Roman" w:cs="Times New Roman"/>
          <w:sz w:val="24"/>
        </w:rPr>
        <w:t xml:space="preserve"> PIB. </w:t>
      </w:r>
      <w:r w:rsidRPr="00FE5B59">
        <w:rPr>
          <w:rFonts w:ascii="Times New Roman" w:hAnsi="Times New Roman" w:cs="Times New Roman"/>
          <w:sz w:val="24"/>
        </w:rPr>
        <w:t>También</w:t>
      </w:r>
      <w:r w:rsidR="0095722A" w:rsidRPr="00FE5B59">
        <w:rPr>
          <w:rFonts w:ascii="Times New Roman" w:hAnsi="Times New Roman" w:cs="Times New Roman"/>
          <w:sz w:val="24"/>
        </w:rPr>
        <w:t xml:space="preserve"> </w:t>
      </w:r>
      <w:r w:rsidR="00344412" w:rsidRPr="00FE5B59">
        <w:rPr>
          <w:rFonts w:ascii="Times New Roman" w:hAnsi="Times New Roman" w:cs="Times New Roman"/>
          <w:sz w:val="24"/>
        </w:rPr>
        <w:t>tiene un porcentaje bajo de personas desempleadas (2.6%).</w:t>
      </w:r>
      <w:r w:rsidR="00752D93" w:rsidRPr="00FE5B59">
        <w:rPr>
          <w:rFonts w:ascii="Times New Roman" w:hAnsi="Times New Roman" w:cs="Times New Roman"/>
          <w:sz w:val="24"/>
        </w:rPr>
        <w:t xml:space="preserve"> </w:t>
      </w:r>
      <w:r w:rsidR="00950507" w:rsidRPr="00FE5B59">
        <w:rPr>
          <w:rFonts w:ascii="Times New Roman" w:hAnsi="Times New Roman" w:cs="Times New Roman"/>
          <w:sz w:val="24"/>
        </w:rPr>
        <w:t>El PIB pe</w:t>
      </w:r>
      <w:r w:rsidR="00344412" w:rsidRPr="00FE5B59">
        <w:rPr>
          <w:rFonts w:ascii="Times New Roman" w:hAnsi="Times New Roman" w:cs="Times New Roman"/>
          <w:sz w:val="24"/>
        </w:rPr>
        <w:t>r cápita de €63,</w:t>
      </w:r>
      <w:r w:rsidR="00975B72" w:rsidRPr="00FE5B59">
        <w:rPr>
          <w:rFonts w:ascii="Times New Roman" w:hAnsi="Times New Roman" w:cs="Times New Roman"/>
          <w:sz w:val="24"/>
        </w:rPr>
        <w:t xml:space="preserve">200 indica un nivel de vida alto de su población, </w:t>
      </w:r>
      <w:r w:rsidRPr="00FE5B59">
        <w:rPr>
          <w:rFonts w:ascii="Times New Roman" w:hAnsi="Times New Roman" w:cs="Times New Roman"/>
          <w:sz w:val="24"/>
        </w:rPr>
        <w:t>está</w:t>
      </w:r>
      <w:r w:rsidR="00975B72" w:rsidRPr="00FE5B59">
        <w:rPr>
          <w:rFonts w:ascii="Times New Roman" w:hAnsi="Times New Roman" w:cs="Times New Roman"/>
          <w:sz w:val="24"/>
        </w:rPr>
        <w:t xml:space="preserve"> ubicado en el 6to lugar del ranking mundial. Por </w:t>
      </w:r>
      <w:r w:rsidRPr="00FE5B59">
        <w:rPr>
          <w:rFonts w:ascii="Times New Roman" w:hAnsi="Times New Roman" w:cs="Times New Roman"/>
          <w:sz w:val="24"/>
        </w:rPr>
        <w:t>último</w:t>
      </w:r>
      <w:r w:rsidR="00975B72" w:rsidRPr="00FE5B59">
        <w:rPr>
          <w:rFonts w:ascii="Times New Roman" w:hAnsi="Times New Roman" w:cs="Times New Roman"/>
          <w:sz w:val="24"/>
        </w:rPr>
        <w:t xml:space="preserve">, la esperanza de vida es una de las </w:t>
      </w:r>
      <w:r w:rsidRPr="00FE5B59">
        <w:rPr>
          <w:rFonts w:ascii="Times New Roman" w:hAnsi="Times New Roman" w:cs="Times New Roman"/>
          <w:sz w:val="24"/>
        </w:rPr>
        <w:t>más</w:t>
      </w:r>
      <w:r w:rsidR="007B48DE" w:rsidRPr="00FE5B59">
        <w:rPr>
          <w:rFonts w:ascii="Times New Roman" w:hAnsi="Times New Roman" w:cs="Times New Roman"/>
          <w:sz w:val="24"/>
        </w:rPr>
        <w:t xml:space="preserve"> altas en el mundo (esta </w:t>
      </w:r>
      <w:r w:rsidR="00975B72" w:rsidRPr="00FE5B59">
        <w:rPr>
          <w:rFonts w:ascii="Times New Roman" w:hAnsi="Times New Roman" w:cs="Times New Roman"/>
          <w:sz w:val="24"/>
        </w:rPr>
        <w:t>entre las 10 primeras), donde se estima que es de 82.5 años.</w:t>
      </w:r>
    </w:p>
    <w:p w14:paraId="4F0FC07A" w14:textId="77777777" w:rsidR="00752D93" w:rsidRPr="00FE5B59" w:rsidRDefault="00625585" w:rsidP="00CD7BF8">
      <w:pPr>
        <w:pStyle w:val="Prrafodelista"/>
        <w:numPr>
          <w:ilvl w:val="0"/>
          <w:numId w:val="1"/>
        </w:numPr>
        <w:tabs>
          <w:tab w:val="left" w:pos="993"/>
        </w:tabs>
        <w:spacing w:line="360" w:lineRule="auto"/>
        <w:ind w:left="0" w:firstLine="709"/>
        <w:jc w:val="both"/>
        <w:rPr>
          <w:rFonts w:ascii="Times New Roman" w:hAnsi="Times New Roman" w:cs="Times New Roman"/>
          <w:b/>
          <w:sz w:val="24"/>
        </w:rPr>
      </w:pPr>
      <w:r w:rsidRPr="00FE5B59">
        <w:rPr>
          <w:rFonts w:ascii="Times New Roman" w:hAnsi="Times New Roman" w:cs="Times New Roman"/>
          <w:b/>
          <w:sz w:val="24"/>
        </w:rPr>
        <w:t>Antecedentes</w:t>
      </w:r>
      <w:r w:rsidR="00FE5B59">
        <w:rPr>
          <w:rFonts w:ascii="Times New Roman" w:hAnsi="Times New Roman" w:cs="Times New Roman"/>
          <w:b/>
          <w:sz w:val="24"/>
        </w:rPr>
        <w:t xml:space="preserve">. </w:t>
      </w:r>
      <w:r w:rsidR="00E51B53" w:rsidRPr="00FE5B59">
        <w:rPr>
          <w:rFonts w:ascii="Times New Roman" w:hAnsi="Times New Roman" w:cs="Times New Roman"/>
          <w:sz w:val="24"/>
        </w:rPr>
        <w:t xml:space="preserve">En el 2001, el gobierno </w:t>
      </w:r>
      <w:r w:rsidR="009E4A0C">
        <w:rPr>
          <w:rFonts w:ascii="Times New Roman" w:hAnsi="Times New Roman" w:cs="Times New Roman"/>
          <w:sz w:val="24"/>
        </w:rPr>
        <w:t>i</w:t>
      </w:r>
      <w:r w:rsidR="00677C5D" w:rsidRPr="00FE5B59">
        <w:rPr>
          <w:rFonts w:ascii="Times New Roman" w:hAnsi="Times New Roman" w:cs="Times New Roman"/>
          <w:sz w:val="24"/>
        </w:rPr>
        <w:t>slandés</w:t>
      </w:r>
      <w:r w:rsidR="00E51B53" w:rsidRPr="00FE5B59">
        <w:rPr>
          <w:rFonts w:ascii="Times New Roman" w:hAnsi="Times New Roman" w:cs="Times New Roman"/>
          <w:sz w:val="24"/>
        </w:rPr>
        <w:t xml:space="preserve"> desregul</w:t>
      </w:r>
      <w:r w:rsidR="00F755F3">
        <w:rPr>
          <w:rFonts w:ascii="Times New Roman" w:hAnsi="Times New Roman" w:cs="Times New Roman"/>
          <w:sz w:val="24"/>
        </w:rPr>
        <w:t>ó</w:t>
      </w:r>
      <w:r w:rsidR="00E51B53" w:rsidRPr="00FE5B59">
        <w:rPr>
          <w:rFonts w:ascii="Times New Roman" w:hAnsi="Times New Roman" w:cs="Times New Roman"/>
          <w:sz w:val="24"/>
        </w:rPr>
        <w:t xml:space="preserve"> los bancos, el cual </w:t>
      </w:r>
      <w:r w:rsidR="00677C5D" w:rsidRPr="00FE5B59">
        <w:rPr>
          <w:rFonts w:ascii="Times New Roman" w:hAnsi="Times New Roman" w:cs="Times New Roman"/>
          <w:sz w:val="24"/>
        </w:rPr>
        <w:t>permitió</w:t>
      </w:r>
      <w:r w:rsidR="00E51B53" w:rsidRPr="00FE5B59">
        <w:rPr>
          <w:rFonts w:ascii="Times New Roman" w:hAnsi="Times New Roman" w:cs="Times New Roman"/>
          <w:sz w:val="24"/>
        </w:rPr>
        <w:t xml:space="preserve"> que estos bancos s</w:t>
      </w:r>
      <w:r w:rsidR="001A02D4" w:rsidRPr="00FE5B59">
        <w:rPr>
          <w:rFonts w:ascii="Times New Roman" w:hAnsi="Times New Roman" w:cs="Times New Roman"/>
          <w:sz w:val="24"/>
        </w:rPr>
        <w:t>e endeudaran por adquirir</w:t>
      </w:r>
      <w:r w:rsidR="003430D2" w:rsidRPr="00FE5B59">
        <w:rPr>
          <w:rFonts w:ascii="Times New Roman" w:hAnsi="Times New Roman" w:cs="Times New Roman"/>
          <w:sz w:val="24"/>
        </w:rPr>
        <w:t xml:space="preserve"> </w:t>
      </w:r>
      <w:r w:rsidR="00D471C2" w:rsidRPr="00FE5B59">
        <w:rPr>
          <w:rFonts w:ascii="Times New Roman" w:hAnsi="Times New Roman" w:cs="Times New Roman"/>
          <w:sz w:val="24"/>
        </w:rPr>
        <w:t xml:space="preserve">empresas internacionales y </w:t>
      </w:r>
      <w:r w:rsidR="00811079" w:rsidRPr="00FE5B59">
        <w:rPr>
          <w:rFonts w:ascii="Times New Roman" w:hAnsi="Times New Roman" w:cs="Times New Roman"/>
          <w:sz w:val="24"/>
        </w:rPr>
        <w:t xml:space="preserve">prestamos </w:t>
      </w:r>
      <w:r w:rsidR="00D471C2" w:rsidRPr="00FE5B59">
        <w:rPr>
          <w:rFonts w:ascii="Times New Roman" w:hAnsi="Times New Roman" w:cs="Times New Roman"/>
          <w:sz w:val="24"/>
        </w:rPr>
        <w:t xml:space="preserve">de corto plazo </w:t>
      </w:r>
      <w:r w:rsidR="00811079" w:rsidRPr="00FE5B59">
        <w:rPr>
          <w:rFonts w:ascii="Times New Roman" w:hAnsi="Times New Roman" w:cs="Times New Roman"/>
          <w:sz w:val="24"/>
        </w:rPr>
        <w:t>con el mercado interbancario</w:t>
      </w:r>
      <w:r w:rsidR="001A02D4" w:rsidRPr="00FE5B59">
        <w:rPr>
          <w:rFonts w:ascii="Times New Roman" w:hAnsi="Times New Roman" w:cs="Times New Roman"/>
          <w:sz w:val="24"/>
        </w:rPr>
        <w:t xml:space="preserve">. Los tres principales bancos de Islandia (Kaupthing, Glitnir y Landsbanki) obtuvieron un exceso </w:t>
      </w:r>
      <w:r w:rsidR="00E51B53" w:rsidRPr="00FE5B59">
        <w:rPr>
          <w:rFonts w:ascii="Times New Roman" w:hAnsi="Times New Roman" w:cs="Times New Roman"/>
          <w:sz w:val="24"/>
        </w:rPr>
        <w:t>de</w:t>
      </w:r>
      <w:r w:rsidR="001A02D4" w:rsidRPr="00FE5B59">
        <w:rPr>
          <w:rFonts w:ascii="Times New Roman" w:hAnsi="Times New Roman" w:cs="Times New Roman"/>
          <w:sz w:val="24"/>
        </w:rPr>
        <w:t xml:space="preserve"> deuda externa de 50€ millardos para un PIB de 8.5€ mill</w:t>
      </w:r>
      <w:r w:rsidR="00A71C4E" w:rsidRPr="00FE5B59">
        <w:rPr>
          <w:rFonts w:ascii="Times New Roman" w:hAnsi="Times New Roman" w:cs="Times New Roman"/>
          <w:sz w:val="24"/>
        </w:rPr>
        <w:t>ardos. Para atender a las deudas</w:t>
      </w:r>
      <w:r w:rsidR="001A02D4" w:rsidRPr="00FE5B59">
        <w:rPr>
          <w:rFonts w:ascii="Times New Roman" w:hAnsi="Times New Roman" w:cs="Times New Roman"/>
          <w:sz w:val="24"/>
        </w:rPr>
        <w:t xml:space="preserve">, los </w:t>
      </w:r>
      <w:r w:rsidR="00677C5D" w:rsidRPr="00FE5B59">
        <w:rPr>
          <w:rFonts w:ascii="Times New Roman" w:hAnsi="Times New Roman" w:cs="Times New Roman"/>
          <w:sz w:val="24"/>
        </w:rPr>
        <w:t>bancos</w:t>
      </w:r>
      <w:r w:rsidR="001A02D4" w:rsidRPr="00FE5B59">
        <w:rPr>
          <w:rFonts w:ascii="Times New Roman" w:hAnsi="Times New Roman" w:cs="Times New Roman"/>
          <w:sz w:val="24"/>
        </w:rPr>
        <w:t xml:space="preserve"> cambiaron a coronas por monedas extranjeras. Como result</w:t>
      </w:r>
      <w:r w:rsidR="00741A7E" w:rsidRPr="00FE5B59">
        <w:rPr>
          <w:rFonts w:ascii="Times New Roman" w:hAnsi="Times New Roman" w:cs="Times New Roman"/>
          <w:sz w:val="24"/>
        </w:rPr>
        <w:t>ado en el 2008 se dio la crisis financiera</w:t>
      </w:r>
      <w:r w:rsidR="001A02D4" w:rsidRPr="00FE5B59">
        <w:rPr>
          <w:rFonts w:ascii="Times New Roman" w:hAnsi="Times New Roman" w:cs="Times New Roman"/>
          <w:sz w:val="24"/>
        </w:rPr>
        <w:t xml:space="preserve">, que trajo una depreciación de la corona del 60%, una </w:t>
      </w:r>
      <w:r w:rsidR="00677C5D" w:rsidRPr="00FE5B59">
        <w:rPr>
          <w:rFonts w:ascii="Times New Roman" w:hAnsi="Times New Roman" w:cs="Times New Roman"/>
          <w:sz w:val="24"/>
        </w:rPr>
        <w:t>inflación</w:t>
      </w:r>
      <w:r w:rsidR="001A02D4" w:rsidRPr="00FE5B59">
        <w:rPr>
          <w:rFonts w:ascii="Times New Roman" w:hAnsi="Times New Roman" w:cs="Times New Roman"/>
          <w:sz w:val="24"/>
        </w:rPr>
        <w:t xml:space="preserve"> del 14% e intereses del 15%.</w:t>
      </w:r>
      <w:r w:rsidR="00811079" w:rsidRPr="00FE5B59">
        <w:rPr>
          <w:rFonts w:ascii="Times New Roman" w:hAnsi="Times New Roman" w:cs="Times New Roman"/>
          <w:sz w:val="24"/>
        </w:rPr>
        <w:t xml:space="preserve"> Por lo tanto, el gobierno </w:t>
      </w:r>
      <w:r w:rsidR="00677C5D" w:rsidRPr="00FE5B59">
        <w:rPr>
          <w:rFonts w:ascii="Times New Roman" w:hAnsi="Times New Roman" w:cs="Times New Roman"/>
          <w:sz w:val="24"/>
        </w:rPr>
        <w:t>decidió</w:t>
      </w:r>
      <w:r w:rsidR="00811079" w:rsidRPr="00FE5B59">
        <w:rPr>
          <w:rFonts w:ascii="Times New Roman" w:hAnsi="Times New Roman" w:cs="Times New Roman"/>
          <w:sz w:val="24"/>
        </w:rPr>
        <w:t xml:space="preserve"> nacionalizar los bancos, creo una red de seguridad y una separación de los activos y pasivos. Pero los bancos eran tan grandes para ser rescatados</w:t>
      </w:r>
      <w:r w:rsidR="003430D2" w:rsidRPr="00FE5B59">
        <w:rPr>
          <w:rFonts w:ascii="Times New Roman" w:hAnsi="Times New Roman" w:cs="Times New Roman"/>
          <w:sz w:val="24"/>
        </w:rPr>
        <w:t xml:space="preserve"> de su deuda a corto plazo</w:t>
      </w:r>
      <w:r w:rsidR="00811079" w:rsidRPr="00FE5B59">
        <w:rPr>
          <w:rFonts w:ascii="Times New Roman" w:hAnsi="Times New Roman" w:cs="Times New Roman"/>
          <w:sz w:val="24"/>
        </w:rPr>
        <w:t>.</w:t>
      </w:r>
      <w:r w:rsidR="00D471C2" w:rsidRPr="00FE5B59">
        <w:rPr>
          <w:rFonts w:ascii="Times New Roman" w:hAnsi="Times New Roman" w:cs="Times New Roman"/>
          <w:sz w:val="24"/>
        </w:rPr>
        <w:t xml:space="preserve"> En el </w:t>
      </w:r>
      <w:r w:rsidR="00E2022C" w:rsidRPr="00FE5B59">
        <w:rPr>
          <w:rFonts w:ascii="Times New Roman" w:hAnsi="Times New Roman" w:cs="Times New Roman"/>
          <w:sz w:val="24"/>
        </w:rPr>
        <w:t>2008, l</w:t>
      </w:r>
      <w:r w:rsidR="00D471C2" w:rsidRPr="00FE5B59">
        <w:rPr>
          <w:rFonts w:ascii="Times New Roman" w:hAnsi="Times New Roman" w:cs="Times New Roman"/>
          <w:sz w:val="24"/>
        </w:rPr>
        <w:t>a deuda externa fue de €50,000 millones</w:t>
      </w:r>
      <w:r w:rsidR="00E2022C" w:rsidRPr="00FE5B59">
        <w:rPr>
          <w:rFonts w:ascii="Times New Roman" w:hAnsi="Times New Roman" w:cs="Times New Roman"/>
          <w:sz w:val="24"/>
        </w:rPr>
        <w:t xml:space="preserve">, </w:t>
      </w:r>
      <w:r w:rsidR="00D471C2" w:rsidRPr="00FE5B59">
        <w:rPr>
          <w:rFonts w:ascii="Times New Roman" w:hAnsi="Times New Roman" w:cs="Times New Roman"/>
          <w:sz w:val="24"/>
        </w:rPr>
        <w:t xml:space="preserve">donde </w:t>
      </w:r>
      <w:r w:rsidR="00E2022C" w:rsidRPr="00FE5B59">
        <w:rPr>
          <w:rFonts w:ascii="Times New Roman" w:hAnsi="Times New Roman" w:cs="Times New Roman"/>
          <w:sz w:val="24"/>
        </w:rPr>
        <w:t>más del 80%</w:t>
      </w:r>
      <w:r w:rsidR="00D471C2" w:rsidRPr="00FE5B59">
        <w:rPr>
          <w:rFonts w:ascii="Times New Roman" w:hAnsi="Times New Roman" w:cs="Times New Roman"/>
          <w:sz w:val="24"/>
        </w:rPr>
        <w:t xml:space="preserve"> era</w:t>
      </w:r>
      <w:r w:rsidR="00E2022C" w:rsidRPr="00FE5B59">
        <w:rPr>
          <w:rFonts w:ascii="Times New Roman" w:hAnsi="Times New Roman" w:cs="Times New Roman"/>
          <w:sz w:val="24"/>
        </w:rPr>
        <w:t xml:space="preserve"> prod</w:t>
      </w:r>
      <w:r w:rsidR="00D471C2" w:rsidRPr="00FE5B59">
        <w:rPr>
          <w:rFonts w:ascii="Times New Roman" w:hAnsi="Times New Roman" w:cs="Times New Roman"/>
          <w:sz w:val="24"/>
        </w:rPr>
        <w:t xml:space="preserve">ucida por el sector bancario. </w:t>
      </w:r>
    </w:p>
    <w:p w14:paraId="2A57D6FF" w14:textId="77777777" w:rsidR="003B527E" w:rsidRDefault="00A71C4E" w:rsidP="009E4A0C">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El gobierno </w:t>
      </w:r>
      <w:r w:rsidR="00677C5D">
        <w:rPr>
          <w:rFonts w:ascii="Times New Roman" w:hAnsi="Times New Roman" w:cs="Times New Roman"/>
          <w:sz w:val="24"/>
        </w:rPr>
        <w:t>Islandés</w:t>
      </w:r>
      <w:r>
        <w:rPr>
          <w:rFonts w:ascii="Times New Roman" w:hAnsi="Times New Roman" w:cs="Times New Roman"/>
          <w:sz w:val="24"/>
        </w:rPr>
        <w:t xml:space="preserve"> </w:t>
      </w:r>
      <w:r w:rsidR="00677C5D">
        <w:rPr>
          <w:rFonts w:ascii="Times New Roman" w:hAnsi="Times New Roman" w:cs="Times New Roman"/>
          <w:sz w:val="24"/>
        </w:rPr>
        <w:t>decidió</w:t>
      </w:r>
      <w:r>
        <w:rPr>
          <w:rFonts w:ascii="Times New Roman" w:hAnsi="Times New Roman" w:cs="Times New Roman"/>
          <w:sz w:val="24"/>
        </w:rPr>
        <w:t xml:space="preserve"> no seguir las regulaciones </w:t>
      </w:r>
      <w:r w:rsidR="00677C5D">
        <w:rPr>
          <w:rFonts w:ascii="Times New Roman" w:hAnsi="Times New Roman" w:cs="Times New Roman"/>
          <w:sz w:val="24"/>
        </w:rPr>
        <w:t>establecidas</w:t>
      </w:r>
      <w:r>
        <w:rPr>
          <w:rFonts w:ascii="Times New Roman" w:hAnsi="Times New Roman" w:cs="Times New Roman"/>
          <w:sz w:val="24"/>
        </w:rPr>
        <w:t xml:space="preserve"> internacionalmente para la crisis, y </w:t>
      </w:r>
      <w:r w:rsidR="00677C5D">
        <w:rPr>
          <w:rFonts w:ascii="Times New Roman" w:hAnsi="Times New Roman" w:cs="Times New Roman"/>
          <w:sz w:val="24"/>
        </w:rPr>
        <w:t>más</w:t>
      </w:r>
      <w:r>
        <w:rPr>
          <w:rFonts w:ascii="Times New Roman" w:hAnsi="Times New Roman" w:cs="Times New Roman"/>
          <w:sz w:val="24"/>
        </w:rPr>
        <w:t xml:space="preserve"> bien </w:t>
      </w:r>
      <w:r w:rsidR="00677C5D">
        <w:rPr>
          <w:rFonts w:ascii="Times New Roman" w:hAnsi="Times New Roman" w:cs="Times New Roman"/>
          <w:sz w:val="24"/>
        </w:rPr>
        <w:t>implemento</w:t>
      </w:r>
      <w:r>
        <w:rPr>
          <w:rFonts w:ascii="Times New Roman" w:hAnsi="Times New Roman" w:cs="Times New Roman"/>
          <w:sz w:val="24"/>
        </w:rPr>
        <w:t xml:space="preserve"> regulaciones propias. La primera </w:t>
      </w:r>
      <w:r w:rsidR="00A754EF">
        <w:rPr>
          <w:rFonts w:ascii="Times New Roman" w:hAnsi="Times New Roman" w:cs="Times New Roman"/>
          <w:sz w:val="24"/>
        </w:rPr>
        <w:t xml:space="preserve">regulación </w:t>
      </w:r>
      <w:r>
        <w:rPr>
          <w:rFonts w:ascii="Times New Roman" w:hAnsi="Times New Roman" w:cs="Times New Roman"/>
          <w:sz w:val="24"/>
        </w:rPr>
        <w:t xml:space="preserve">fue el controlar el capital de las </w:t>
      </w:r>
      <w:r w:rsidR="007874DC" w:rsidRPr="007874DC">
        <w:rPr>
          <w:rFonts w:ascii="Times New Roman" w:hAnsi="Times New Roman" w:cs="Times New Roman"/>
          <w:sz w:val="24"/>
        </w:rPr>
        <w:t xml:space="preserve">empresas, </w:t>
      </w:r>
      <w:r w:rsidR="00F44589">
        <w:rPr>
          <w:rFonts w:ascii="Times New Roman" w:hAnsi="Times New Roman" w:cs="Times New Roman"/>
          <w:sz w:val="24"/>
        </w:rPr>
        <w:t xml:space="preserve">los pensionistas y los </w:t>
      </w:r>
      <w:r>
        <w:rPr>
          <w:rFonts w:ascii="Times New Roman" w:hAnsi="Times New Roman" w:cs="Times New Roman"/>
          <w:sz w:val="24"/>
        </w:rPr>
        <w:t xml:space="preserve">individuos. El objetivo era evitar la </w:t>
      </w:r>
      <w:r w:rsidR="007874DC" w:rsidRPr="007874DC">
        <w:rPr>
          <w:rFonts w:ascii="Times New Roman" w:hAnsi="Times New Roman" w:cs="Times New Roman"/>
          <w:sz w:val="24"/>
        </w:rPr>
        <w:t>f</w:t>
      </w:r>
      <w:r w:rsidR="00A754EF">
        <w:rPr>
          <w:rFonts w:ascii="Times New Roman" w:hAnsi="Times New Roman" w:cs="Times New Roman"/>
          <w:sz w:val="24"/>
        </w:rPr>
        <w:t xml:space="preserve">uga de capitales al extranjero. La segunda regulación era sanear la banca; esto se </w:t>
      </w:r>
      <w:r w:rsidR="00677C5D">
        <w:rPr>
          <w:rFonts w:ascii="Times New Roman" w:hAnsi="Times New Roman" w:cs="Times New Roman"/>
          <w:sz w:val="24"/>
        </w:rPr>
        <w:t>llevó</w:t>
      </w:r>
      <w:r w:rsidR="00A754EF">
        <w:rPr>
          <w:rFonts w:ascii="Times New Roman" w:hAnsi="Times New Roman" w:cs="Times New Roman"/>
          <w:sz w:val="24"/>
        </w:rPr>
        <w:t xml:space="preserve"> acabo por medio de la nacionalización de los bancos privados e impulsando un equilibrio </w:t>
      </w:r>
      <w:r w:rsidR="007874DC" w:rsidRPr="007874DC">
        <w:rPr>
          <w:rFonts w:ascii="Times New Roman" w:hAnsi="Times New Roman" w:cs="Times New Roman"/>
          <w:sz w:val="24"/>
        </w:rPr>
        <w:t>entre la liberalización econó</w:t>
      </w:r>
      <w:r w:rsidR="00752D93">
        <w:rPr>
          <w:rFonts w:ascii="Times New Roman" w:hAnsi="Times New Roman" w:cs="Times New Roman"/>
          <w:sz w:val="24"/>
        </w:rPr>
        <w:t xml:space="preserve">mica y el control de capitales. </w:t>
      </w:r>
      <w:r w:rsidR="00677C5D">
        <w:rPr>
          <w:rFonts w:ascii="Times New Roman" w:hAnsi="Times New Roman" w:cs="Times New Roman"/>
          <w:sz w:val="24"/>
        </w:rPr>
        <w:t>Así</w:t>
      </w:r>
      <w:r w:rsidR="00752D93">
        <w:rPr>
          <w:rFonts w:ascii="Times New Roman" w:hAnsi="Times New Roman" w:cs="Times New Roman"/>
          <w:sz w:val="24"/>
        </w:rPr>
        <w:t xml:space="preserve"> mismo, Islandia desde el 2009 se ha encargado </w:t>
      </w:r>
      <w:r w:rsidR="00752D93" w:rsidRPr="00752D93">
        <w:rPr>
          <w:rFonts w:ascii="Times New Roman" w:hAnsi="Times New Roman" w:cs="Times New Roman"/>
          <w:sz w:val="24"/>
        </w:rPr>
        <w:t xml:space="preserve">de reducir el presupuesto y el déficit por cuenta corriente, limitar los préstamos extranjeros, </w:t>
      </w:r>
      <w:r w:rsidR="00752D93">
        <w:rPr>
          <w:rFonts w:ascii="Times New Roman" w:hAnsi="Times New Roman" w:cs="Times New Roman"/>
          <w:sz w:val="24"/>
        </w:rPr>
        <w:t>revisar las políticas de pesca (para brindar</w:t>
      </w:r>
      <w:r w:rsidR="00F44589">
        <w:rPr>
          <w:rFonts w:ascii="Times New Roman" w:hAnsi="Times New Roman" w:cs="Times New Roman"/>
          <w:sz w:val="24"/>
        </w:rPr>
        <w:t>le</w:t>
      </w:r>
      <w:r w:rsidR="00752D93">
        <w:rPr>
          <w:rFonts w:ascii="Times New Roman" w:hAnsi="Times New Roman" w:cs="Times New Roman"/>
          <w:sz w:val="24"/>
        </w:rPr>
        <w:t xml:space="preserve"> una mayor </w:t>
      </w:r>
      <w:r w:rsidR="00677C5D">
        <w:rPr>
          <w:rFonts w:ascii="Times New Roman" w:hAnsi="Times New Roman" w:cs="Times New Roman"/>
          <w:sz w:val="24"/>
        </w:rPr>
        <w:t>protección</w:t>
      </w:r>
      <w:r w:rsidR="00752D93">
        <w:rPr>
          <w:rFonts w:ascii="Times New Roman" w:hAnsi="Times New Roman" w:cs="Times New Roman"/>
          <w:sz w:val="24"/>
        </w:rPr>
        <w:t xml:space="preserve"> en el mercado), contener la inflación, </w:t>
      </w:r>
      <w:r w:rsidR="00752D93" w:rsidRPr="00752D93">
        <w:rPr>
          <w:rFonts w:ascii="Times New Roman" w:hAnsi="Times New Roman" w:cs="Times New Roman"/>
          <w:sz w:val="24"/>
        </w:rPr>
        <w:t>diversificar la economía y privatizar las industrias estatales</w:t>
      </w:r>
      <w:r w:rsidR="009E4A0C">
        <w:rPr>
          <w:rFonts w:ascii="Times New Roman" w:hAnsi="Times New Roman" w:cs="Times New Roman"/>
          <w:sz w:val="24"/>
        </w:rPr>
        <w:t>.</w:t>
      </w:r>
    </w:p>
    <w:p w14:paraId="06DFC3D7" w14:textId="77777777" w:rsidR="003B527E" w:rsidRPr="00FE5B59" w:rsidRDefault="00677C5D" w:rsidP="00CD7BF8">
      <w:pPr>
        <w:pStyle w:val="Prrafodelista"/>
        <w:numPr>
          <w:ilvl w:val="0"/>
          <w:numId w:val="1"/>
        </w:numPr>
        <w:spacing w:line="360" w:lineRule="auto"/>
        <w:ind w:left="0" w:firstLine="709"/>
        <w:jc w:val="both"/>
        <w:rPr>
          <w:rFonts w:ascii="Times New Roman" w:hAnsi="Times New Roman" w:cs="Times New Roman"/>
          <w:b/>
          <w:sz w:val="24"/>
        </w:rPr>
      </w:pPr>
      <w:r w:rsidRPr="00FE5B59">
        <w:rPr>
          <w:rFonts w:ascii="Times New Roman" w:hAnsi="Times New Roman" w:cs="Times New Roman"/>
          <w:b/>
          <w:sz w:val="24"/>
        </w:rPr>
        <w:t>Índices</w:t>
      </w:r>
      <w:r w:rsidR="003B527E" w:rsidRPr="00FE5B59">
        <w:rPr>
          <w:rFonts w:ascii="Times New Roman" w:hAnsi="Times New Roman" w:cs="Times New Roman"/>
          <w:b/>
          <w:sz w:val="24"/>
        </w:rPr>
        <w:t xml:space="preserve"> </w:t>
      </w:r>
      <w:r w:rsidR="00FE5B59" w:rsidRPr="00FE5B59">
        <w:rPr>
          <w:rFonts w:ascii="Times New Roman" w:hAnsi="Times New Roman" w:cs="Times New Roman"/>
          <w:b/>
          <w:sz w:val="24"/>
        </w:rPr>
        <w:t>e</w:t>
      </w:r>
      <w:r w:rsidRPr="00FE5B59">
        <w:rPr>
          <w:rFonts w:ascii="Times New Roman" w:hAnsi="Times New Roman" w:cs="Times New Roman"/>
          <w:b/>
          <w:sz w:val="24"/>
        </w:rPr>
        <w:t>conómicos</w:t>
      </w:r>
      <w:r w:rsidR="003B527E" w:rsidRPr="00FE5B59">
        <w:rPr>
          <w:rFonts w:ascii="Times New Roman" w:hAnsi="Times New Roman" w:cs="Times New Roman"/>
          <w:b/>
          <w:sz w:val="24"/>
        </w:rPr>
        <w:t xml:space="preserve"> del </w:t>
      </w:r>
      <w:r w:rsidR="00FE5B59" w:rsidRPr="00FE5B59">
        <w:rPr>
          <w:rFonts w:ascii="Times New Roman" w:hAnsi="Times New Roman" w:cs="Times New Roman"/>
          <w:b/>
          <w:sz w:val="24"/>
        </w:rPr>
        <w:t>p</w:t>
      </w:r>
      <w:r w:rsidRPr="00FE5B59">
        <w:rPr>
          <w:rFonts w:ascii="Times New Roman" w:hAnsi="Times New Roman" w:cs="Times New Roman"/>
          <w:b/>
          <w:sz w:val="24"/>
        </w:rPr>
        <w:t>aís</w:t>
      </w:r>
      <w:r w:rsidR="00D80046">
        <w:rPr>
          <w:rFonts w:ascii="Times New Roman" w:hAnsi="Times New Roman" w:cs="Times New Roman"/>
          <w:b/>
          <w:sz w:val="24"/>
        </w:rPr>
        <w:t>.</w:t>
      </w:r>
    </w:p>
    <w:p w14:paraId="5168C25B" w14:textId="77777777" w:rsidR="00752D93" w:rsidRDefault="00E50ACC" w:rsidP="00CD7BF8">
      <w:pPr>
        <w:spacing w:line="360" w:lineRule="auto"/>
        <w:jc w:val="both"/>
        <w:rPr>
          <w:rFonts w:ascii="Times New Roman" w:hAnsi="Times New Roman" w:cs="Times New Roman"/>
          <w:sz w:val="24"/>
        </w:rPr>
      </w:pPr>
      <w:r>
        <w:rPr>
          <w:rFonts w:ascii="Times New Roman" w:hAnsi="Times New Roman" w:cs="Times New Roman"/>
          <w:noProof/>
          <w:sz w:val="24"/>
          <w:lang w:val="es-ES_tradnl" w:eastAsia="es-ES_tradnl"/>
        </w:rPr>
        <w:lastRenderedPageBreak/>
        <w:drawing>
          <wp:inline distT="0" distB="0" distL="0" distR="0" wp14:anchorId="78691B60" wp14:editId="734C281C">
            <wp:extent cx="5667375" cy="26193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F50030" w14:textId="77777777" w:rsidR="002D37B9" w:rsidRDefault="00DE06DF" w:rsidP="009E4A0C">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El PIB de Islandia y Honduras es similar debido a </w:t>
      </w:r>
      <w:r w:rsidR="00214270">
        <w:rPr>
          <w:rFonts w:ascii="Times New Roman" w:hAnsi="Times New Roman" w:cs="Times New Roman"/>
          <w:sz w:val="24"/>
        </w:rPr>
        <w:t xml:space="preserve">que se desarrollan en </w:t>
      </w:r>
      <w:r>
        <w:rPr>
          <w:rFonts w:ascii="Times New Roman" w:hAnsi="Times New Roman" w:cs="Times New Roman"/>
          <w:sz w:val="24"/>
        </w:rPr>
        <w:t xml:space="preserve">economías </w:t>
      </w:r>
      <w:r w:rsidR="00214270">
        <w:rPr>
          <w:rFonts w:ascii="Times New Roman" w:hAnsi="Times New Roman" w:cs="Times New Roman"/>
          <w:sz w:val="24"/>
        </w:rPr>
        <w:t xml:space="preserve">pequeñas y poblaciones </w:t>
      </w:r>
      <w:r>
        <w:rPr>
          <w:rFonts w:ascii="Times New Roman" w:hAnsi="Times New Roman" w:cs="Times New Roman"/>
          <w:sz w:val="24"/>
        </w:rPr>
        <w:t>bajas en densidad.</w:t>
      </w:r>
      <w:r w:rsidR="00214270">
        <w:rPr>
          <w:rFonts w:ascii="Times New Roman" w:hAnsi="Times New Roman" w:cs="Times New Roman"/>
          <w:sz w:val="24"/>
        </w:rPr>
        <w:t xml:space="preserve"> Por lo tanto, la productividad tiende a ser bajas. En este caso, se puede determinar que Honduras tiene un PIB </w:t>
      </w:r>
      <w:r w:rsidR="0030301B">
        <w:rPr>
          <w:rFonts w:ascii="Times New Roman" w:hAnsi="Times New Roman" w:cs="Times New Roman"/>
          <w:sz w:val="24"/>
        </w:rPr>
        <w:t>más</w:t>
      </w:r>
      <w:r w:rsidR="00214270">
        <w:rPr>
          <w:rFonts w:ascii="Times New Roman" w:hAnsi="Times New Roman" w:cs="Times New Roman"/>
          <w:sz w:val="24"/>
        </w:rPr>
        <w:t xml:space="preserve"> alto debido a que su población es mayor, y por ende produce un poco </w:t>
      </w:r>
      <w:r w:rsidR="0030301B">
        <w:rPr>
          <w:rFonts w:ascii="Times New Roman" w:hAnsi="Times New Roman" w:cs="Times New Roman"/>
          <w:sz w:val="24"/>
        </w:rPr>
        <w:t>más</w:t>
      </w:r>
      <w:r w:rsidR="00214270">
        <w:rPr>
          <w:rFonts w:ascii="Times New Roman" w:hAnsi="Times New Roman" w:cs="Times New Roman"/>
          <w:sz w:val="24"/>
        </w:rPr>
        <w:t xml:space="preserve"> que Islandia. Ambas economías han crecido constantemente, pero la de Islandia presenta un mayor crecimiento (de </w:t>
      </w:r>
      <w:r w:rsidR="0030301B">
        <w:rPr>
          <w:rFonts w:ascii="Times New Roman" w:hAnsi="Times New Roman" w:cs="Times New Roman"/>
          <w:sz w:val="24"/>
        </w:rPr>
        <w:t>más</w:t>
      </w:r>
      <w:r w:rsidR="00214270">
        <w:rPr>
          <w:rFonts w:ascii="Times New Roman" w:hAnsi="Times New Roman" w:cs="Times New Roman"/>
          <w:sz w:val="24"/>
        </w:rPr>
        <w:t xml:space="preserve"> del 1%)</w:t>
      </w:r>
      <w:r w:rsidR="000A213F">
        <w:rPr>
          <w:rFonts w:ascii="Times New Roman" w:hAnsi="Times New Roman" w:cs="Times New Roman"/>
          <w:sz w:val="24"/>
        </w:rPr>
        <w:t xml:space="preserve"> hasta casi llegar a tener el mismo PIB que Honduras en el 2017.</w:t>
      </w:r>
    </w:p>
    <w:p w14:paraId="64151730" w14:textId="77777777" w:rsidR="0079616F" w:rsidRDefault="0079616F" w:rsidP="00CD7BF8">
      <w:pPr>
        <w:spacing w:line="360" w:lineRule="auto"/>
        <w:jc w:val="both"/>
        <w:rPr>
          <w:rFonts w:ascii="Times New Roman" w:hAnsi="Times New Roman" w:cs="Times New Roman"/>
          <w:sz w:val="24"/>
        </w:rPr>
      </w:pPr>
      <w:r>
        <w:rPr>
          <w:rFonts w:ascii="Times New Roman" w:hAnsi="Times New Roman" w:cs="Times New Roman"/>
          <w:noProof/>
          <w:sz w:val="24"/>
          <w:lang w:val="es-ES_tradnl" w:eastAsia="es-ES_tradnl"/>
        </w:rPr>
        <w:drawing>
          <wp:inline distT="0" distB="0" distL="0" distR="0" wp14:anchorId="4BABAC4A" wp14:editId="13FD5EF0">
            <wp:extent cx="5486400" cy="24955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277FE8" w14:textId="77777777" w:rsidR="0079616F" w:rsidRDefault="000A213F" w:rsidP="009E4A0C">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En el caso del PIB per </w:t>
      </w:r>
      <w:r w:rsidR="0030301B">
        <w:rPr>
          <w:rFonts w:ascii="Times New Roman" w:hAnsi="Times New Roman" w:cs="Times New Roman"/>
          <w:sz w:val="24"/>
        </w:rPr>
        <w:t>cápita</w:t>
      </w:r>
      <w:r>
        <w:rPr>
          <w:rFonts w:ascii="Times New Roman" w:hAnsi="Times New Roman" w:cs="Times New Roman"/>
          <w:sz w:val="24"/>
        </w:rPr>
        <w:t xml:space="preserve"> hay una gran diferencia entre ambas naciones. Esto se debe, a que Islandia tiene un nivel de desarrollo humano </w:t>
      </w:r>
      <w:r w:rsidR="0030301B">
        <w:rPr>
          <w:rFonts w:ascii="Times New Roman" w:hAnsi="Times New Roman" w:cs="Times New Roman"/>
          <w:sz w:val="24"/>
        </w:rPr>
        <w:t>más</w:t>
      </w:r>
      <w:r>
        <w:rPr>
          <w:rFonts w:ascii="Times New Roman" w:hAnsi="Times New Roman" w:cs="Times New Roman"/>
          <w:sz w:val="24"/>
        </w:rPr>
        <w:t xml:space="preserve"> alto, el cual </w:t>
      </w:r>
      <w:r w:rsidR="00C263E1">
        <w:rPr>
          <w:rFonts w:ascii="Times New Roman" w:hAnsi="Times New Roman" w:cs="Times New Roman"/>
          <w:sz w:val="24"/>
        </w:rPr>
        <w:t xml:space="preserve">da como resultado </w:t>
      </w:r>
      <w:r>
        <w:rPr>
          <w:rFonts w:ascii="Times New Roman" w:hAnsi="Times New Roman" w:cs="Times New Roman"/>
          <w:sz w:val="24"/>
        </w:rPr>
        <w:t xml:space="preserve">una mayor productividad. Islandia presenta un crecimiento constante, </w:t>
      </w:r>
      <w:r w:rsidR="00C263E1">
        <w:rPr>
          <w:rFonts w:ascii="Times New Roman" w:hAnsi="Times New Roman" w:cs="Times New Roman"/>
          <w:sz w:val="24"/>
        </w:rPr>
        <w:t xml:space="preserve">mientras que Honduras </w:t>
      </w:r>
      <w:r w:rsidR="00C263E1">
        <w:rPr>
          <w:rFonts w:ascii="Times New Roman" w:hAnsi="Times New Roman" w:cs="Times New Roman"/>
          <w:sz w:val="24"/>
        </w:rPr>
        <w:lastRenderedPageBreak/>
        <w:t xml:space="preserve">muestra casi el mismo PIB per </w:t>
      </w:r>
      <w:r w:rsidR="0030301B">
        <w:rPr>
          <w:rFonts w:ascii="Times New Roman" w:hAnsi="Times New Roman" w:cs="Times New Roman"/>
          <w:sz w:val="24"/>
        </w:rPr>
        <w:t>cápita</w:t>
      </w:r>
      <w:r w:rsidR="00C263E1">
        <w:rPr>
          <w:rFonts w:ascii="Times New Roman" w:hAnsi="Times New Roman" w:cs="Times New Roman"/>
          <w:sz w:val="24"/>
        </w:rPr>
        <w:t xml:space="preserve"> en los últimos cuatro años. La diferencia es entre $50,612-$67,576.74</w:t>
      </w:r>
      <w:r w:rsidR="002D37B9">
        <w:rPr>
          <w:rFonts w:ascii="Times New Roman" w:hAnsi="Times New Roman" w:cs="Times New Roman"/>
          <w:sz w:val="24"/>
        </w:rPr>
        <w:t>; lo que significa que hay una mayor movilidad social en Islandia.</w:t>
      </w:r>
    </w:p>
    <w:p w14:paraId="3E62973C" w14:textId="77777777" w:rsidR="001D2DFC" w:rsidRDefault="002D37B9" w:rsidP="009E4A0C">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Islandia para mejor su situación económica en los primero años </w:t>
      </w:r>
      <w:r w:rsidR="0030301B">
        <w:rPr>
          <w:rFonts w:ascii="Times New Roman" w:hAnsi="Times New Roman" w:cs="Times New Roman"/>
          <w:sz w:val="24"/>
        </w:rPr>
        <w:t>decidió</w:t>
      </w:r>
      <w:r w:rsidR="001B72B0">
        <w:rPr>
          <w:rFonts w:ascii="Times New Roman" w:hAnsi="Times New Roman" w:cs="Times New Roman"/>
          <w:sz w:val="24"/>
        </w:rPr>
        <w:t xml:space="preserve"> invertir una gran parte de su PIB en programas sociales</w:t>
      </w:r>
      <w:r w:rsidR="009E4A0C">
        <w:rPr>
          <w:rFonts w:ascii="Times New Roman" w:hAnsi="Times New Roman" w:cs="Times New Roman"/>
          <w:sz w:val="24"/>
        </w:rPr>
        <w:t xml:space="preserve">. </w:t>
      </w:r>
      <w:r w:rsidR="0058432B">
        <w:rPr>
          <w:rFonts w:ascii="Times New Roman" w:hAnsi="Times New Roman" w:cs="Times New Roman"/>
          <w:sz w:val="24"/>
        </w:rPr>
        <w:t xml:space="preserve">Según las políticas de Islandia, se </w:t>
      </w:r>
      <w:r w:rsidR="00C461C4">
        <w:rPr>
          <w:rFonts w:ascii="Times New Roman" w:hAnsi="Times New Roman" w:cs="Times New Roman"/>
          <w:sz w:val="24"/>
        </w:rPr>
        <w:t>tenía</w:t>
      </w:r>
      <w:r w:rsidR="0058432B">
        <w:rPr>
          <w:rFonts w:ascii="Times New Roman" w:hAnsi="Times New Roman" w:cs="Times New Roman"/>
          <w:sz w:val="24"/>
        </w:rPr>
        <w:t xml:space="preserve"> que dejar de pedir </w:t>
      </w:r>
      <w:r w:rsidR="00C461C4">
        <w:rPr>
          <w:rFonts w:ascii="Times New Roman" w:hAnsi="Times New Roman" w:cs="Times New Roman"/>
          <w:sz w:val="24"/>
        </w:rPr>
        <w:t>más</w:t>
      </w:r>
      <w:r w:rsidR="0058432B">
        <w:rPr>
          <w:rFonts w:ascii="Times New Roman" w:hAnsi="Times New Roman" w:cs="Times New Roman"/>
          <w:sz w:val="24"/>
        </w:rPr>
        <w:t xml:space="preserve"> </w:t>
      </w:r>
      <w:r w:rsidR="00C461C4">
        <w:rPr>
          <w:rFonts w:ascii="Times New Roman" w:hAnsi="Times New Roman" w:cs="Times New Roman"/>
          <w:sz w:val="24"/>
        </w:rPr>
        <w:t>préstamos</w:t>
      </w:r>
      <w:r w:rsidR="0058432B">
        <w:rPr>
          <w:rFonts w:ascii="Times New Roman" w:hAnsi="Times New Roman" w:cs="Times New Roman"/>
          <w:sz w:val="24"/>
        </w:rPr>
        <w:t xml:space="preserve"> de los organismos financieros y disminuir la deuda externa. Claramente, el </w:t>
      </w:r>
      <w:r w:rsidR="00C461C4">
        <w:rPr>
          <w:rFonts w:ascii="Times New Roman" w:hAnsi="Times New Roman" w:cs="Times New Roman"/>
          <w:sz w:val="24"/>
        </w:rPr>
        <w:t>país</w:t>
      </w:r>
      <w:r w:rsidR="0058432B">
        <w:rPr>
          <w:rFonts w:ascii="Times New Roman" w:hAnsi="Times New Roman" w:cs="Times New Roman"/>
          <w:sz w:val="24"/>
        </w:rPr>
        <w:t xml:space="preserve"> lo ha logrado, ya que paso de tener una</w:t>
      </w:r>
      <w:r w:rsidR="00D20C59">
        <w:rPr>
          <w:rFonts w:ascii="Times New Roman" w:hAnsi="Times New Roman" w:cs="Times New Roman"/>
          <w:sz w:val="24"/>
        </w:rPr>
        <w:t xml:space="preserve"> deuda externa de $124.5 miles de millones a una de $27.1 miles de millones. En el caso de Honduras, la deuda ha ido aumentando </w:t>
      </w:r>
      <w:r w:rsidR="00C461C4">
        <w:rPr>
          <w:rFonts w:ascii="Times New Roman" w:hAnsi="Times New Roman" w:cs="Times New Roman"/>
          <w:sz w:val="24"/>
        </w:rPr>
        <w:t>constantemente</w:t>
      </w:r>
      <w:r w:rsidR="00D20C59">
        <w:rPr>
          <w:rFonts w:ascii="Times New Roman" w:hAnsi="Times New Roman" w:cs="Times New Roman"/>
          <w:sz w:val="24"/>
        </w:rPr>
        <w:t xml:space="preserve">, ya que el </w:t>
      </w:r>
      <w:r w:rsidR="00C461C4">
        <w:rPr>
          <w:rFonts w:ascii="Times New Roman" w:hAnsi="Times New Roman" w:cs="Times New Roman"/>
          <w:sz w:val="24"/>
        </w:rPr>
        <w:t>país</w:t>
      </w:r>
      <w:r w:rsidR="00D20C59">
        <w:rPr>
          <w:rFonts w:ascii="Times New Roman" w:hAnsi="Times New Roman" w:cs="Times New Roman"/>
          <w:sz w:val="24"/>
        </w:rPr>
        <w:t xml:space="preserve"> tiene una gran dependencia de los organismos financieros</w:t>
      </w:r>
      <w:r w:rsidR="009E4A0C">
        <w:rPr>
          <w:rFonts w:ascii="Times New Roman" w:hAnsi="Times New Roman" w:cs="Times New Roman"/>
          <w:sz w:val="24"/>
        </w:rPr>
        <w:t>.</w:t>
      </w:r>
    </w:p>
    <w:p w14:paraId="6750BC3A" w14:textId="77777777" w:rsidR="001D2DFC" w:rsidRDefault="001D2DFC" w:rsidP="00CD7BF8">
      <w:pPr>
        <w:spacing w:line="360" w:lineRule="auto"/>
        <w:jc w:val="both"/>
        <w:rPr>
          <w:rFonts w:ascii="Times New Roman" w:hAnsi="Times New Roman" w:cs="Times New Roman"/>
          <w:sz w:val="24"/>
        </w:rPr>
      </w:pPr>
      <w:r>
        <w:rPr>
          <w:rFonts w:ascii="Times New Roman" w:hAnsi="Times New Roman" w:cs="Times New Roman"/>
          <w:noProof/>
          <w:sz w:val="24"/>
          <w:lang w:val="es-ES_tradnl" w:eastAsia="es-ES_tradnl"/>
        </w:rPr>
        <w:drawing>
          <wp:inline distT="0" distB="0" distL="0" distR="0" wp14:anchorId="7A2FDEAC" wp14:editId="197E6340">
            <wp:extent cx="5572125" cy="383857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51D856" w14:textId="77777777" w:rsidR="00605169" w:rsidRDefault="00605169" w:rsidP="00CD7BF8">
      <w:pPr>
        <w:spacing w:line="360" w:lineRule="auto"/>
        <w:jc w:val="both"/>
        <w:rPr>
          <w:rFonts w:ascii="Times New Roman" w:hAnsi="Times New Roman" w:cs="Times New Roman"/>
          <w:sz w:val="24"/>
        </w:rPr>
      </w:pPr>
      <w:r>
        <w:rPr>
          <w:rFonts w:ascii="Times New Roman" w:hAnsi="Times New Roman" w:cs="Times New Roman"/>
          <w:sz w:val="24"/>
        </w:rPr>
        <w:t xml:space="preserve">La tasa de desempleo en </w:t>
      </w:r>
      <w:r w:rsidR="009E4A0C">
        <w:rPr>
          <w:rFonts w:ascii="Times New Roman" w:hAnsi="Times New Roman" w:cs="Times New Roman"/>
          <w:sz w:val="24"/>
        </w:rPr>
        <w:t>general</w:t>
      </w:r>
      <w:r>
        <w:rPr>
          <w:rFonts w:ascii="Times New Roman" w:hAnsi="Times New Roman" w:cs="Times New Roman"/>
          <w:sz w:val="24"/>
        </w:rPr>
        <w:t xml:space="preserve"> ha ido disminuyendo en Islandia, pero ha aumentado en Honduras. Cabe resaltar, que Islandia solo tiene una tasa de desempleo. Mientras que en Honduras existen los fenómenos de desempleo abierto y el subempleo visible e invisible. Por lo tanto, el desempleo es mayor en Honduras y no existen programas de asistenc</w:t>
      </w:r>
      <w:r w:rsidR="00BA70BD">
        <w:rPr>
          <w:rFonts w:ascii="Times New Roman" w:hAnsi="Times New Roman" w:cs="Times New Roman"/>
          <w:sz w:val="24"/>
        </w:rPr>
        <w:t>ia como los que tiene Islandia para reinstaurar al individuo en el mercado laboral dentro de un año.</w:t>
      </w:r>
    </w:p>
    <w:p w14:paraId="21E517DD" w14:textId="77777777" w:rsidR="00497D0A" w:rsidRDefault="005548CB" w:rsidP="00CD7BF8">
      <w:pPr>
        <w:spacing w:line="360" w:lineRule="auto"/>
        <w:jc w:val="both"/>
        <w:rPr>
          <w:rFonts w:ascii="Times New Roman" w:hAnsi="Times New Roman" w:cs="Times New Roman"/>
          <w:sz w:val="24"/>
        </w:rPr>
      </w:pPr>
      <w:r>
        <w:rPr>
          <w:rFonts w:ascii="Times New Roman" w:hAnsi="Times New Roman" w:cs="Times New Roman"/>
          <w:noProof/>
          <w:sz w:val="24"/>
          <w:lang w:val="es-ES_tradnl" w:eastAsia="es-ES_tradnl"/>
        </w:rPr>
        <w:lastRenderedPageBreak/>
        <w:drawing>
          <wp:inline distT="0" distB="0" distL="0" distR="0" wp14:anchorId="20B23DFB" wp14:editId="710094B5">
            <wp:extent cx="5610225" cy="31718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D12ABC" w14:textId="77777777" w:rsidR="001258BE" w:rsidRDefault="00967190" w:rsidP="00967190">
      <w:pPr>
        <w:spacing w:line="360" w:lineRule="auto"/>
        <w:jc w:val="both"/>
        <w:rPr>
          <w:rFonts w:ascii="Times New Roman" w:hAnsi="Times New Roman" w:cs="Times New Roman"/>
          <w:sz w:val="24"/>
        </w:rPr>
      </w:pPr>
      <w:r>
        <w:rPr>
          <w:rFonts w:ascii="Times New Roman" w:hAnsi="Times New Roman" w:cs="Times New Roman"/>
          <w:noProof/>
          <w:sz w:val="24"/>
          <w:lang w:val="es-ES_tradnl" w:eastAsia="es-ES_tradnl"/>
        </w:rPr>
        <w:drawing>
          <wp:inline distT="0" distB="0" distL="0" distR="0" wp14:anchorId="3E55CB61" wp14:editId="7C682A2B">
            <wp:extent cx="5610225" cy="3200400"/>
            <wp:effectExtent l="0" t="0" r="952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A70BD">
        <w:rPr>
          <w:rFonts w:ascii="Times New Roman" w:hAnsi="Times New Roman" w:cs="Times New Roman"/>
          <w:sz w:val="24"/>
        </w:rPr>
        <w:t xml:space="preserve">El salario </w:t>
      </w:r>
      <w:r w:rsidR="00C461C4">
        <w:rPr>
          <w:rFonts w:ascii="Times New Roman" w:hAnsi="Times New Roman" w:cs="Times New Roman"/>
          <w:sz w:val="24"/>
        </w:rPr>
        <w:t>mínimo</w:t>
      </w:r>
      <w:r w:rsidR="00BA70BD">
        <w:rPr>
          <w:rFonts w:ascii="Times New Roman" w:hAnsi="Times New Roman" w:cs="Times New Roman"/>
          <w:sz w:val="24"/>
        </w:rPr>
        <w:t xml:space="preserve"> o medio es significativamente </w:t>
      </w:r>
      <w:r w:rsidR="00C461C4">
        <w:rPr>
          <w:rFonts w:ascii="Times New Roman" w:hAnsi="Times New Roman" w:cs="Times New Roman"/>
          <w:sz w:val="24"/>
        </w:rPr>
        <w:t>más</w:t>
      </w:r>
      <w:r w:rsidR="00BA70BD">
        <w:rPr>
          <w:rFonts w:ascii="Times New Roman" w:hAnsi="Times New Roman" w:cs="Times New Roman"/>
          <w:sz w:val="24"/>
        </w:rPr>
        <w:t xml:space="preserve"> alto en Islandia que en Honduras. Esto es producto de las </w:t>
      </w:r>
      <w:r w:rsidR="00C461C4">
        <w:rPr>
          <w:rFonts w:ascii="Times New Roman" w:hAnsi="Times New Roman" w:cs="Times New Roman"/>
          <w:sz w:val="24"/>
        </w:rPr>
        <w:t>políticas</w:t>
      </w:r>
      <w:r w:rsidR="00BA70BD">
        <w:rPr>
          <w:rFonts w:ascii="Times New Roman" w:hAnsi="Times New Roman" w:cs="Times New Roman"/>
          <w:sz w:val="24"/>
        </w:rPr>
        <w:t xml:space="preserve"> y el contrato social que hay en el </w:t>
      </w:r>
      <w:r w:rsidR="00C461C4">
        <w:rPr>
          <w:rFonts w:ascii="Times New Roman" w:hAnsi="Times New Roman" w:cs="Times New Roman"/>
          <w:sz w:val="24"/>
        </w:rPr>
        <w:t>paí</w:t>
      </w:r>
      <w:r w:rsidR="002F2D98">
        <w:rPr>
          <w:rFonts w:ascii="Times New Roman" w:hAnsi="Times New Roman" w:cs="Times New Roman"/>
          <w:sz w:val="24"/>
        </w:rPr>
        <w:t xml:space="preserve">s, </w:t>
      </w:r>
      <w:r w:rsidR="00BA70BD">
        <w:rPr>
          <w:rFonts w:ascii="Times New Roman" w:hAnsi="Times New Roman" w:cs="Times New Roman"/>
          <w:sz w:val="24"/>
        </w:rPr>
        <w:t xml:space="preserve">donde el </w:t>
      </w:r>
      <w:r>
        <w:rPr>
          <w:rFonts w:ascii="Times New Roman" w:hAnsi="Times New Roman" w:cs="Times New Roman"/>
          <w:sz w:val="24"/>
        </w:rPr>
        <w:t>salario debe de estar relacionado con el estilo de vida del individuo. En el caso de Honduras, el salario es bajo (tiene una diferencia con Islandia de $79,133.79) y no está relacionado con las necesidades básicas y el estilo de vida de las personas. Por lo tanto, en Honduras es más difícil desarrollar una movilidad social.</w:t>
      </w:r>
    </w:p>
    <w:p w14:paraId="2F616A01" w14:textId="77777777" w:rsidR="00985B8F" w:rsidRDefault="009A5309" w:rsidP="00967190">
      <w:pPr>
        <w:spacing w:line="360" w:lineRule="auto"/>
        <w:ind w:firstLine="706"/>
        <w:jc w:val="both"/>
        <w:rPr>
          <w:rFonts w:ascii="Times New Roman" w:hAnsi="Times New Roman" w:cs="Times New Roman"/>
          <w:sz w:val="24"/>
        </w:rPr>
      </w:pPr>
      <w:r>
        <w:rPr>
          <w:rFonts w:ascii="Times New Roman" w:hAnsi="Times New Roman" w:cs="Times New Roman"/>
          <w:sz w:val="24"/>
        </w:rPr>
        <w:lastRenderedPageBreak/>
        <w:t xml:space="preserve">La </w:t>
      </w:r>
      <w:r w:rsidR="001258BE">
        <w:rPr>
          <w:rFonts w:ascii="Times New Roman" w:hAnsi="Times New Roman" w:cs="Times New Roman"/>
          <w:sz w:val="24"/>
        </w:rPr>
        <w:t xml:space="preserve">tasa de </w:t>
      </w:r>
      <w:r w:rsidR="00C461C4">
        <w:rPr>
          <w:rFonts w:ascii="Times New Roman" w:hAnsi="Times New Roman" w:cs="Times New Roman"/>
          <w:sz w:val="24"/>
        </w:rPr>
        <w:t>inflación</w:t>
      </w:r>
      <w:r w:rsidR="001258BE">
        <w:rPr>
          <w:rFonts w:ascii="Times New Roman" w:hAnsi="Times New Roman" w:cs="Times New Roman"/>
          <w:sz w:val="24"/>
        </w:rPr>
        <w:t xml:space="preserve"> ha disminuido en Islandia, en comparación lo que </w:t>
      </w:r>
      <w:r w:rsidR="00C461C4">
        <w:rPr>
          <w:rFonts w:ascii="Times New Roman" w:hAnsi="Times New Roman" w:cs="Times New Roman"/>
          <w:sz w:val="24"/>
        </w:rPr>
        <w:t>tenía</w:t>
      </w:r>
      <w:r w:rsidR="001258BE">
        <w:rPr>
          <w:rFonts w:ascii="Times New Roman" w:hAnsi="Times New Roman" w:cs="Times New Roman"/>
          <w:sz w:val="24"/>
        </w:rPr>
        <w:t xml:space="preserve"> en el 2008 (un 14%). En el caso de Honduras igualmente </w:t>
      </w:r>
      <w:r w:rsidR="00C461C4">
        <w:rPr>
          <w:rFonts w:ascii="Times New Roman" w:hAnsi="Times New Roman" w:cs="Times New Roman"/>
          <w:sz w:val="24"/>
        </w:rPr>
        <w:t>a</w:t>
      </w:r>
      <w:r w:rsidR="001258BE">
        <w:rPr>
          <w:rFonts w:ascii="Times New Roman" w:hAnsi="Times New Roman" w:cs="Times New Roman"/>
          <w:sz w:val="24"/>
        </w:rPr>
        <w:t xml:space="preserve"> </w:t>
      </w:r>
      <w:r w:rsidR="00C461C4">
        <w:rPr>
          <w:rFonts w:ascii="Times New Roman" w:hAnsi="Times New Roman" w:cs="Times New Roman"/>
          <w:sz w:val="24"/>
        </w:rPr>
        <w:t>disminuido</w:t>
      </w:r>
      <w:r w:rsidR="00985B8F">
        <w:rPr>
          <w:rFonts w:ascii="Times New Roman" w:hAnsi="Times New Roman" w:cs="Times New Roman"/>
          <w:sz w:val="24"/>
        </w:rPr>
        <w:t xml:space="preserve">, no obstante, es </w:t>
      </w:r>
      <w:r w:rsidR="00C461C4">
        <w:rPr>
          <w:rFonts w:ascii="Times New Roman" w:hAnsi="Times New Roman" w:cs="Times New Roman"/>
          <w:sz w:val="24"/>
        </w:rPr>
        <w:t>más</w:t>
      </w:r>
      <w:r w:rsidR="00985B8F">
        <w:rPr>
          <w:rFonts w:ascii="Times New Roman" w:hAnsi="Times New Roman" w:cs="Times New Roman"/>
          <w:sz w:val="24"/>
        </w:rPr>
        <w:t xml:space="preserve"> alto que el de Islandia por un 1%. Cabe resaltar, que parte del aumento de la </w:t>
      </w:r>
      <w:r w:rsidR="00C461C4">
        <w:rPr>
          <w:rFonts w:ascii="Times New Roman" w:hAnsi="Times New Roman" w:cs="Times New Roman"/>
          <w:sz w:val="24"/>
        </w:rPr>
        <w:t>inflación</w:t>
      </w:r>
      <w:r w:rsidR="00985B8F">
        <w:rPr>
          <w:rFonts w:ascii="Times New Roman" w:hAnsi="Times New Roman" w:cs="Times New Roman"/>
          <w:sz w:val="24"/>
        </w:rPr>
        <w:t xml:space="preserve"> en general se debe a la inestabilidad del mercado internacional. Aun </w:t>
      </w:r>
      <w:r w:rsidR="00C461C4">
        <w:rPr>
          <w:rFonts w:ascii="Times New Roman" w:hAnsi="Times New Roman" w:cs="Times New Roman"/>
          <w:sz w:val="24"/>
        </w:rPr>
        <w:t>así</w:t>
      </w:r>
      <w:r w:rsidR="00985B8F">
        <w:rPr>
          <w:rFonts w:ascii="Times New Roman" w:hAnsi="Times New Roman" w:cs="Times New Roman"/>
          <w:sz w:val="24"/>
        </w:rPr>
        <w:t xml:space="preserve">, cada </w:t>
      </w:r>
      <w:r w:rsidR="00C461C4">
        <w:rPr>
          <w:rFonts w:ascii="Times New Roman" w:hAnsi="Times New Roman" w:cs="Times New Roman"/>
          <w:sz w:val="24"/>
        </w:rPr>
        <w:t>país</w:t>
      </w:r>
      <w:r w:rsidR="00985B8F">
        <w:rPr>
          <w:rFonts w:ascii="Times New Roman" w:hAnsi="Times New Roman" w:cs="Times New Roman"/>
          <w:sz w:val="24"/>
        </w:rPr>
        <w:t xml:space="preserve"> debe de mantener su tasa de </w:t>
      </w:r>
      <w:r w:rsidR="00C461C4">
        <w:rPr>
          <w:rFonts w:ascii="Times New Roman" w:hAnsi="Times New Roman" w:cs="Times New Roman"/>
          <w:sz w:val="24"/>
        </w:rPr>
        <w:t>inflación</w:t>
      </w:r>
      <w:r w:rsidR="00985B8F">
        <w:rPr>
          <w:rFonts w:ascii="Times New Roman" w:hAnsi="Times New Roman" w:cs="Times New Roman"/>
          <w:sz w:val="24"/>
        </w:rPr>
        <w:t xml:space="preserve">, o por lo menos que no afecte significativamente al desarrollo y la estabilidad del mercado del </w:t>
      </w:r>
      <w:r w:rsidR="00C461C4">
        <w:rPr>
          <w:rFonts w:ascii="Times New Roman" w:hAnsi="Times New Roman" w:cs="Times New Roman"/>
          <w:sz w:val="24"/>
        </w:rPr>
        <w:t>país</w:t>
      </w:r>
      <w:r w:rsidR="00985B8F">
        <w:rPr>
          <w:rFonts w:ascii="Times New Roman" w:hAnsi="Times New Roman" w:cs="Times New Roman"/>
          <w:sz w:val="24"/>
        </w:rPr>
        <w:t xml:space="preserve"> y el estilo de vida de las personas.</w:t>
      </w:r>
    </w:p>
    <w:p w14:paraId="472C7E02" w14:textId="77777777" w:rsidR="00497D0A" w:rsidRDefault="001F5F43" w:rsidP="00CD7BF8">
      <w:pPr>
        <w:spacing w:line="360" w:lineRule="auto"/>
        <w:jc w:val="both"/>
        <w:rPr>
          <w:rFonts w:ascii="Times New Roman" w:hAnsi="Times New Roman" w:cs="Times New Roman"/>
          <w:sz w:val="24"/>
        </w:rPr>
      </w:pPr>
      <w:r>
        <w:rPr>
          <w:rFonts w:ascii="Times New Roman" w:hAnsi="Times New Roman" w:cs="Times New Roman"/>
          <w:noProof/>
          <w:sz w:val="24"/>
          <w:lang w:val="es-ES_tradnl" w:eastAsia="es-ES_tradnl"/>
        </w:rPr>
        <w:drawing>
          <wp:inline distT="0" distB="0" distL="0" distR="0" wp14:anchorId="43269CF8" wp14:editId="3B60BEEB">
            <wp:extent cx="5610225" cy="3200400"/>
            <wp:effectExtent l="0" t="0" r="952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EADDCF" w14:textId="77777777" w:rsidR="00985B8F" w:rsidRDefault="00150632" w:rsidP="00CD7BF8">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Por </w:t>
      </w:r>
      <w:r w:rsidR="00C461C4">
        <w:rPr>
          <w:rFonts w:ascii="Times New Roman" w:hAnsi="Times New Roman" w:cs="Times New Roman"/>
          <w:sz w:val="24"/>
        </w:rPr>
        <w:t>último</w:t>
      </w:r>
      <w:r>
        <w:rPr>
          <w:rFonts w:ascii="Times New Roman" w:hAnsi="Times New Roman" w:cs="Times New Roman"/>
          <w:sz w:val="24"/>
        </w:rPr>
        <w:t xml:space="preserve">, el índice de desarrollo humano es estable o ha crecido un 0.01% en ambas naciones. Aun </w:t>
      </w:r>
      <w:r w:rsidR="00C461C4">
        <w:rPr>
          <w:rFonts w:ascii="Times New Roman" w:hAnsi="Times New Roman" w:cs="Times New Roman"/>
          <w:sz w:val="24"/>
        </w:rPr>
        <w:t>así</w:t>
      </w:r>
      <w:r>
        <w:rPr>
          <w:rFonts w:ascii="Times New Roman" w:hAnsi="Times New Roman" w:cs="Times New Roman"/>
          <w:sz w:val="24"/>
        </w:rPr>
        <w:t xml:space="preserve">, Honduras tiene un índice menor que el que tiene Islandia (hay una diferencia de 0.31%). El índice de Islandia es alto gracias a sus políticas y programas </w:t>
      </w:r>
      <w:r w:rsidR="00C461C4">
        <w:rPr>
          <w:rFonts w:ascii="Times New Roman" w:hAnsi="Times New Roman" w:cs="Times New Roman"/>
          <w:sz w:val="24"/>
        </w:rPr>
        <w:t>públicos</w:t>
      </w:r>
      <w:r>
        <w:rPr>
          <w:rFonts w:ascii="Times New Roman" w:hAnsi="Times New Roman" w:cs="Times New Roman"/>
          <w:sz w:val="24"/>
        </w:rPr>
        <w:t xml:space="preserve"> sociales. Se puede concluir que la movilidad social y el desarrollo del individuo es una realidad en Islandia, mientras que en Honduras es una meta a alcanzar.</w:t>
      </w:r>
    </w:p>
    <w:p w14:paraId="1D4C01D4" w14:textId="77777777" w:rsidR="00967190" w:rsidRDefault="00967190" w:rsidP="00CD7BF8">
      <w:pPr>
        <w:spacing w:line="360" w:lineRule="auto"/>
        <w:jc w:val="both"/>
        <w:rPr>
          <w:rFonts w:ascii="Times New Roman" w:hAnsi="Times New Roman" w:cs="Times New Roman"/>
          <w:sz w:val="24"/>
        </w:rPr>
      </w:pPr>
    </w:p>
    <w:p w14:paraId="07EEDB44" w14:textId="77777777" w:rsidR="00F61195" w:rsidRDefault="00F61195" w:rsidP="00CD7BF8">
      <w:pPr>
        <w:spacing w:line="360" w:lineRule="auto"/>
        <w:jc w:val="both"/>
        <w:rPr>
          <w:rFonts w:ascii="Times New Roman" w:hAnsi="Times New Roman" w:cs="Times New Roman"/>
          <w:b/>
          <w:sz w:val="24"/>
        </w:rPr>
      </w:pPr>
      <w:r>
        <w:rPr>
          <w:rFonts w:ascii="Times New Roman" w:hAnsi="Times New Roman" w:cs="Times New Roman"/>
          <w:b/>
          <w:sz w:val="24"/>
        </w:rPr>
        <w:t>Dinamarca</w:t>
      </w:r>
    </w:p>
    <w:p w14:paraId="715E6A7C" w14:textId="77777777" w:rsidR="009F7877" w:rsidRPr="009F7877" w:rsidRDefault="00F61195" w:rsidP="009F7877">
      <w:pPr>
        <w:pStyle w:val="Prrafodelista"/>
        <w:numPr>
          <w:ilvl w:val="0"/>
          <w:numId w:val="2"/>
        </w:numPr>
        <w:tabs>
          <w:tab w:val="left" w:pos="993"/>
        </w:tabs>
        <w:spacing w:line="360" w:lineRule="auto"/>
        <w:ind w:left="0" w:firstLine="709"/>
        <w:jc w:val="both"/>
        <w:rPr>
          <w:rFonts w:ascii="Times New Roman" w:hAnsi="Times New Roman" w:cs="Times New Roman"/>
          <w:b/>
          <w:sz w:val="24"/>
        </w:rPr>
      </w:pPr>
      <w:r>
        <w:rPr>
          <w:rFonts w:ascii="Times New Roman" w:hAnsi="Times New Roman" w:cs="Times New Roman"/>
          <w:b/>
          <w:sz w:val="24"/>
        </w:rPr>
        <w:t xml:space="preserve">Información general. </w:t>
      </w:r>
      <w:r w:rsidR="000F3C78">
        <w:rPr>
          <w:rFonts w:ascii="Times New Roman" w:hAnsi="Times New Roman" w:cs="Times New Roman"/>
          <w:sz w:val="24"/>
        </w:rPr>
        <w:t>Dinamarca es un país ubicado en el norte de Eur</w:t>
      </w:r>
      <w:r w:rsidR="009F7877">
        <w:rPr>
          <w:rFonts w:ascii="Times New Roman" w:hAnsi="Times New Roman" w:cs="Times New Roman"/>
          <w:sz w:val="24"/>
        </w:rPr>
        <w:t>opa, con una extensión territorial de 43.000</w:t>
      </w:r>
      <w:r w:rsidR="009F7877" w:rsidRPr="009F7877">
        <w:rPr>
          <w:rFonts w:ascii="Times New Roman" w:hAnsi="Times New Roman" w:cs="Times New Roman"/>
          <w:sz w:val="24"/>
        </w:rPr>
        <w:t xml:space="preserve"> </w:t>
      </w:r>
      <w:r w:rsidR="009F7877">
        <w:rPr>
          <w:rFonts w:ascii="Times New Roman" w:hAnsi="Times New Roman" w:cs="Times New Roman"/>
          <w:sz w:val="24"/>
        </w:rPr>
        <w:t>k</w:t>
      </w:r>
      <w:r w:rsidR="009F7877" w:rsidRPr="00FE5B59">
        <w:rPr>
          <w:rFonts w:ascii="Times New Roman" w:hAnsi="Times New Roman" w:cs="Times New Roman"/>
          <w:sz w:val="24"/>
        </w:rPr>
        <w:t>m²</w:t>
      </w:r>
      <w:r w:rsidR="009F7877">
        <w:rPr>
          <w:rFonts w:ascii="Times New Roman" w:hAnsi="Times New Roman" w:cs="Times New Roman"/>
          <w:sz w:val="24"/>
        </w:rPr>
        <w:t xml:space="preserve">, </w:t>
      </w:r>
      <w:r w:rsidR="00D508B6" w:rsidRPr="00D508B6">
        <w:rPr>
          <w:rFonts w:ascii="Times New Roman" w:hAnsi="Times New Roman" w:cs="Times New Roman"/>
          <w:sz w:val="24"/>
        </w:rPr>
        <w:t>con lo que se encuentra entre los países más pequeños</w:t>
      </w:r>
      <w:r w:rsidR="00D508B6">
        <w:rPr>
          <w:rFonts w:ascii="Times New Roman" w:hAnsi="Times New Roman" w:cs="Times New Roman"/>
          <w:sz w:val="24"/>
        </w:rPr>
        <w:t xml:space="preserve"> de Europa y del mundo</w:t>
      </w:r>
      <w:r>
        <w:rPr>
          <w:rFonts w:ascii="Times New Roman" w:hAnsi="Times New Roman" w:cs="Times New Roman"/>
          <w:sz w:val="24"/>
        </w:rPr>
        <w:t>.</w:t>
      </w:r>
      <w:r w:rsidR="00D508B6">
        <w:rPr>
          <w:rFonts w:ascii="Times New Roman" w:hAnsi="Times New Roman" w:cs="Times New Roman"/>
          <w:sz w:val="24"/>
        </w:rPr>
        <w:t xml:space="preserve"> Cuenta </w:t>
      </w:r>
      <w:r w:rsidR="00D508B6" w:rsidRPr="00D508B6">
        <w:rPr>
          <w:rFonts w:ascii="Times New Roman" w:hAnsi="Times New Roman" w:cs="Times New Roman"/>
          <w:sz w:val="24"/>
        </w:rPr>
        <w:t xml:space="preserve">con una población de 5.781.190 personas, </w:t>
      </w:r>
      <w:r w:rsidR="00D508B6">
        <w:rPr>
          <w:rFonts w:ascii="Times New Roman" w:hAnsi="Times New Roman" w:cs="Times New Roman"/>
          <w:sz w:val="24"/>
        </w:rPr>
        <w:t>siendo el país número</w:t>
      </w:r>
      <w:r w:rsidR="00D508B6" w:rsidRPr="00D508B6">
        <w:rPr>
          <w:rFonts w:ascii="Times New Roman" w:hAnsi="Times New Roman" w:cs="Times New Roman"/>
          <w:sz w:val="24"/>
        </w:rPr>
        <w:t xml:space="preserve"> 113 de la tabla de población</w:t>
      </w:r>
      <w:r w:rsidR="00D508B6">
        <w:rPr>
          <w:rFonts w:ascii="Times New Roman" w:hAnsi="Times New Roman" w:cs="Times New Roman"/>
          <w:sz w:val="24"/>
        </w:rPr>
        <w:t xml:space="preserve"> mundial, y su densidad poblacional es de 135 habitantes </w:t>
      </w:r>
      <w:r w:rsidR="00D508B6">
        <w:rPr>
          <w:rFonts w:ascii="Times New Roman" w:hAnsi="Times New Roman" w:cs="Times New Roman"/>
          <w:sz w:val="24"/>
        </w:rPr>
        <w:lastRenderedPageBreak/>
        <w:t xml:space="preserve">por kilómetro cuadrado. </w:t>
      </w:r>
      <w:r w:rsidR="00D508B6" w:rsidRPr="00D508B6">
        <w:rPr>
          <w:rFonts w:ascii="Times New Roman" w:hAnsi="Times New Roman" w:cs="Times New Roman"/>
          <w:sz w:val="24"/>
        </w:rPr>
        <w:t>Su capital es Copenhague y su moneda</w:t>
      </w:r>
      <w:r w:rsidR="00D508B6">
        <w:rPr>
          <w:rFonts w:ascii="Times New Roman" w:hAnsi="Times New Roman" w:cs="Times New Roman"/>
          <w:sz w:val="24"/>
        </w:rPr>
        <w:t xml:space="preserve"> es la</w:t>
      </w:r>
      <w:r w:rsidR="00D508B6" w:rsidRPr="00D508B6">
        <w:rPr>
          <w:rFonts w:ascii="Times New Roman" w:hAnsi="Times New Roman" w:cs="Times New Roman"/>
          <w:sz w:val="24"/>
        </w:rPr>
        <w:t xml:space="preserve"> Corona danesa.</w:t>
      </w:r>
      <w:r w:rsidR="00D508B6">
        <w:rPr>
          <w:rFonts w:ascii="Times New Roman" w:hAnsi="Times New Roman" w:cs="Times New Roman"/>
          <w:sz w:val="24"/>
        </w:rPr>
        <w:t xml:space="preserve"> La economía de Dinamarca es la número 35 respecto de su volumen del Producto Interno Bruto</w:t>
      </w:r>
      <w:r w:rsidR="00F24A36">
        <w:rPr>
          <w:rFonts w:ascii="Times New Roman" w:hAnsi="Times New Roman" w:cs="Times New Roman"/>
          <w:sz w:val="24"/>
        </w:rPr>
        <w:t xml:space="preserve">. </w:t>
      </w:r>
      <w:r w:rsidR="00F24A36" w:rsidRPr="00F24A36">
        <w:rPr>
          <w:rFonts w:ascii="Times New Roman" w:hAnsi="Times New Roman" w:cs="Times New Roman"/>
          <w:sz w:val="24"/>
        </w:rPr>
        <w:t xml:space="preserve">Si la razón para visitar Dinamarca son negocios, es útil saber que Dinamarca se encuentra en el </w:t>
      </w:r>
      <w:r w:rsidR="00F24A36">
        <w:rPr>
          <w:rFonts w:ascii="Times New Roman" w:hAnsi="Times New Roman" w:cs="Times New Roman"/>
          <w:sz w:val="24"/>
        </w:rPr>
        <w:t>tercer</w:t>
      </w:r>
      <w:r w:rsidR="00F24A36" w:rsidRPr="00F24A36">
        <w:rPr>
          <w:rFonts w:ascii="Times New Roman" w:hAnsi="Times New Roman" w:cs="Times New Roman"/>
          <w:sz w:val="24"/>
        </w:rPr>
        <w:t xml:space="preserve"> puesto de los 190 que conforman el ranking </w:t>
      </w:r>
      <w:r w:rsidR="00F24A36" w:rsidRPr="00F24A36">
        <w:rPr>
          <w:rFonts w:ascii="Times New Roman" w:hAnsi="Times New Roman" w:cs="Times New Roman"/>
          <w:i/>
          <w:sz w:val="24"/>
        </w:rPr>
        <w:t>Doing Business</w:t>
      </w:r>
      <w:r w:rsidR="00F24A36" w:rsidRPr="00F24A36">
        <w:rPr>
          <w:rFonts w:ascii="Times New Roman" w:hAnsi="Times New Roman" w:cs="Times New Roman"/>
          <w:sz w:val="24"/>
        </w:rPr>
        <w:t>, que clasifica los países según la facilidad que ofrecen para hacer negocios.</w:t>
      </w:r>
    </w:p>
    <w:p w14:paraId="4E280C62" w14:textId="77777777" w:rsidR="00501228" w:rsidRPr="00501228" w:rsidRDefault="00F61195" w:rsidP="009F7877">
      <w:pPr>
        <w:pStyle w:val="Prrafodelista"/>
        <w:numPr>
          <w:ilvl w:val="0"/>
          <w:numId w:val="2"/>
        </w:numPr>
        <w:tabs>
          <w:tab w:val="left" w:pos="993"/>
        </w:tabs>
        <w:spacing w:line="360" w:lineRule="auto"/>
        <w:ind w:left="0" w:firstLine="709"/>
        <w:jc w:val="both"/>
        <w:rPr>
          <w:rFonts w:ascii="Times New Roman" w:hAnsi="Times New Roman" w:cs="Times New Roman"/>
          <w:b/>
          <w:sz w:val="24"/>
        </w:rPr>
      </w:pPr>
      <w:r w:rsidRPr="009F7877">
        <w:rPr>
          <w:rFonts w:ascii="Times New Roman" w:hAnsi="Times New Roman" w:cs="Times New Roman"/>
          <w:b/>
          <w:sz w:val="24"/>
        </w:rPr>
        <w:t xml:space="preserve">Antecedentes. </w:t>
      </w:r>
      <w:r w:rsidR="005659E9" w:rsidRPr="005659E9">
        <w:rPr>
          <w:rFonts w:ascii="Times New Roman" w:hAnsi="Times New Roman" w:cs="Times New Roman"/>
          <w:sz w:val="24"/>
        </w:rPr>
        <w:t>Desde 1982, un gobierno de centro derecha empezó a corregir la fuerte presión fiscal, la inflación y el déficit de la balanza de pagos</w:t>
      </w:r>
      <w:r w:rsidR="005659E9">
        <w:rPr>
          <w:rFonts w:ascii="Times New Roman" w:hAnsi="Times New Roman" w:cs="Times New Roman"/>
          <w:sz w:val="24"/>
        </w:rPr>
        <w:t>, el gobierno perdi</w:t>
      </w:r>
      <w:r w:rsidR="00501228">
        <w:rPr>
          <w:rFonts w:ascii="Times New Roman" w:hAnsi="Times New Roman" w:cs="Times New Roman"/>
          <w:sz w:val="24"/>
        </w:rPr>
        <w:t>ó popularidad ante un gobierno socialdemócrata que, del mismo modo, logró aliviar los índices de desempleo y el crecimiento económico a nivel macro</w:t>
      </w:r>
      <w:r w:rsidR="00D508B6">
        <w:rPr>
          <w:rFonts w:ascii="Times New Roman" w:hAnsi="Times New Roman" w:cs="Times New Roman"/>
          <w:sz w:val="24"/>
        </w:rPr>
        <w:t>.</w:t>
      </w:r>
      <w:r w:rsidR="00501228">
        <w:rPr>
          <w:rFonts w:ascii="Times New Roman" w:hAnsi="Times New Roman" w:cs="Times New Roman"/>
          <w:sz w:val="24"/>
        </w:rPr>
        <w:t xml:space="preserve"> En 2011, se instaura de nuevo un gobierno de derecha central, que presenta avances positivos en la eficiencia administrativa del ente gubernamental. Añadido a los avances previamente percibidos, se puede afirmar que no hubo un hito histórico determinado que haya contribuido o impulsado el avance tan significativo en sus políticas económicas.</w:t>
      </w:r>
    </w:p>
    <w:p w14:paraId="716FF6D2" w14:textId="77777777" w:rsidR="009F7877" w:rsidRPr="009F7877" w:rsidRDefault="00D508B6" w:rsidP="00501228">
      <w:pPr>
        <w:pStyle w:val="Prrafodelista"/>
        <w:tabs>
          <w:tab w:val="left" w:pos="993"/>
        </w:tabs>
        <w:spacing w:line="360" w:lineRule="auto"/>
        <w:ind w:left="0" w:firstLine="709"/>
        <w:jc w:val="both"/>
        <w:rPr>
          <w:rFonts w:ascii="Times New Roman" w:hAnsi="Times New Roman" w:cs="Times New Roman"/>
          <w:b/>
          <w:sz w:val="24"/>
        </w:rPr>
      </w:pPr>
      <w:r w:rsidRPr="00D508B6">
        <w:rPr>
          <w:rFonts w:ascii="Times New Roman" w:hAnsi="Times New Roman" w:cs="Times New Roman"/>
          <w:sz w:val="24"/>
        </w:rPr>
        <w:t>La recaudación fiscal ronda el 45% del PIB, por encima de todos los demás países de la O</w:t>
      </w:r>
      <w:r>
        <w:rPr>
          <w:rFonts w:ascii="Times New Roman" w:hAnsi="Times New Roman" w:cs="Times New Roman"/>
          <w:sz w:val="24"/>
        </w:rPr>
        <w:t>rganización para la Cooperación y el Desarrollo Económicos</w:t>
      </w:r>
      <w:r w:rsidRPr="00D508B6">
        <w:rPr>
          <w:rFonts w:ascii="Times New Roman" w:hAnsi="Times New Roman" w:cs="Times New Roman"/>
          <w:sz w:val="24"/>
        </w:rPr>
        <w:t xml:space="preserve">. </w:t>
      </w:r>
      <w:r>
        <w:rPr>
          <w:rFonts w:ascii="Times New Roman" w:hAnsi="Times New Roman" w:cs="Times New Roman"/>
          <w:sz w:val="24"/>
        </w:rPr>
        <w:t xml:space="preserve">La </w:t>
      </w:r>
      <w:r w:rsidRPr="00D508B6">
        <w:rPr>
          <w:rFonts w:ascii="Times New Roman" w:hAnsi="Times New Roman" w:cs="Times New Roman"/>
          <w:sz w:val="24"/>
        </w:rPr>
        <w:t xml:space="preserve">libertad económica </w:t>
      </w:r>
      <w:r>
        <w:rPr>
          <w:rFonts w:ascii="Times New Roman" w:hAnsi="Times New Roman" w:cs="Times New Roman"/>
          <w:sz w:val="24"/>
        </w:rPr>
        <w:t>danesa posee</w:t>
      </w:r>
      <w:r w:rsidRPr="00D508B6">
        <w:rPr>
          <w:rFonts w:ascii="Times New Roman" w:hAnsi="Times New Roman" w:cs="Times New Roman"/>
          <w:sz w:val="24"/>
        </w:rPr>
        <w:t xml:space="preserve"> </w:t>
      </w:r>
      <w:r>
        <w:rPr>
          <w:rFonts w:ascii="Times New Roman" w:hAnsi="Times New Roman" w:cs="Times New Roman"/>
          <w:sz w:val="24"/>
        </w:rPr>
        <w:t xml:space="preserve">elementos </w:t>
      </w:r>
      <w:r w:rsidRPr="00D508B6">
        <w:rPr>
          <w:rFonts w:ascii="Times New Roman" w:hAnsi="Times New Roman" w:cs="Times New Roman"/>
          <w:sz w:val="24"/>
        </w:rPr>
        <w:t>como la efectividad judicial, la apertura comercial, la buena regulación empresarial, la flexibilidad laboral</w:t>
      </w:r>
      <w:r>
        <w:rPr>
          <w:rFonts w:ascii="Times New Roman" w:hAnsi="Times New Roman" w:cs="Times New Roman"/>
          <w:sz w:val="24"/>
        </w:rPr>
        <w:t>, etcétera.</w:t>
      </w:r>
      <w:r w:rsidRPr="00D508B6">
        <w:rPr>
          <w:rFonts w:ascii="Times New Roman" w:hAnsi="Times New Roman" w:cs="Times New Roman"/>
          <w:sz w:val="24"/>
        </w:rPr>
        <w:t xml:space="preserve"> </w:t>
      </w:r>
      <w:r>
        <w:rPr>
          <w:rFonts w:ascii="Times New Roman" w:hAnsi="Times New Roman" w:cs="Times New Roman"/>
          <w:sz w:val="24"/>
        </w:rPr>
        <w:t>Lo cual</w:t>
      </w:r>
      <w:r w:rsidRPr="00D508B6">
        <w:rPr>
          <w:rFonts w:ascii="Times New Roman" w:hAnsi="Times New Roman" w:cs="Times New Roman"/>
          <w:sz w:val="24"/>
        </w:rPr>
        <w:t xml:space="preserve"> explica que </w:t>
      </w:r>
      <w:r>
        <w:rPr>
          <w:rFonts w:ascii="Times New Roman" w:hAnsi="Times New Roman" w:cs="Times New Roman"/>
          <w:sz w:val="24"/>
        </w:rPr>
        <w:t>Dinamarca ocupe el puesto</w:t>
      </w:r>
      <w:r w:rsidRPr="00D508B6">
        <w:rPr>
          <w:rFonts w:ascii="Times New Roman" w:hAnsi="Times New Roman" w:cs="Times New Roman"/>
          <w:sz w:val="24"/>
        </w:rPr>
        <w:t xml:space="preserve"> 12 en el Índice de Libertad Económica. </w:t>
      </w:r>
      <w:r>
        <w:rPr>
          <w:rFonts w:ascii="Times New Roman" w:hAnsi="Times New Roman" w:cs="Times New Roman"/>
          <w:sz w:val="24"/>
        </w:rPr>
        <w:t xml:space="preserve">Suecia es un Estado que no se considera como </w:t>
      </w:r>
      <w:r w:rsidRPr="00D508B6">
        <w:rPr>
          <w:rFonts w:ascii="Times New Roman" w:hAnsi="Times New Roman" w:cs="Times New Roman"/>
          <w:sz w:val="24"/>
        </w:rPr>
        <w:t>el paraíso socialista que vende la izquierda, sino</w:t>
      </w:r>
      <w:r>
        <w:rPr>
          <w:rFonts w:ascii="Times New Roman" w:hAnsi="Times New Roman" w:cs="Times New Roman"/>
          <w:sz w:val="24"/>
        </w:rPr>
        <w:t xml:space="preserve"> como</w:t>
      </w:r>
      <w:r w:rsidRPr="00D508B6">
        <w:rPr>
          <w:rFonts w:ascii="Times New Roman" w:hAnsi="Times New Roman" w:cs="Times New Roman"/>
          <w:sz w:val="24"/>
        </w:rPr>
        <w:t xml:space="preserve"> un modelo relativamente liberal, pese al elevado peso del Estado.</w:t>
      </w:r>
    </w:p>
    <w:p w14:paraId="6F5CD3B7" w14:textId="77777777" w:rsidR="00F61195" w:rsidRPr="00BE23F3" w:rsidRDefault="00F61195" w:rsidP="009F7877">
      <w:pPr>
        <w:pStyle w:val="Prrafodelista"/>
        <w:numPr>
          <w:ilvl w:val="0"/>
          <w:numId w:val="2"/>
        </w:numPr>
        <w:tabs>
          <w:tab w:val="left" w:pos="993"/>
        </w:tabs>
        <w:spacing w:line="360" w:lineRule="auto"/>
        <w:ind w:left="0" w:firstLine="709"/>
        <w:jc w:val="both"/>
        <w:rPr>
          <w:rFonts w:ascii="Times New Roman" w:hAnsi="Times New Roman" w:cs="Times New Roman"/>
          <w:b/>
          <w:sz w:val="24"/>
        </w:rPr>
      </w:pPr>
      <w:r w:rsidRPr="009F7877">
        <w:rPr>
          <w:rFonts w:ascii="Times New Roman" w:hAnsi="Times New Roman" w:cs="Times New Roman"/>
          <w:b/>
          <w:sz w:val="24"/>
        </w:rPr>
        <w:t>Índices económicos del país.</w:t>
      </w:r>
    </w:p>
    <w:p w14:paraId="57331661" w14:textId="77777777" w:rsidR="00BE23F3" w:rsidRDefault="00BE23F3" w:rsidP="00BE23F3">
      <w:pPr>
        <w:pStyle w:val="Prrafodelista"/>
        <w:tabs>
          <w:tab w:val="left" w:pos="993"/>
        </w:tabs>
        <w:spacing w:line="360" w:lineRule="auto"/>
        <w:ind w:left="0"/>
        <w:jc w:val="both"/>
        <w:rPr>
          <w:rFonts w:ascii="Times New Roman" w:hAnsi="Times New Roman" w:cs="Times New Roman"/>
          <w:b/>
          <w:sz w:val="24"/>
        </w:rPr>
      </w:pPr>
      <w:r w:rsidRPr="00BE23F3">
        <w:rPr>
          <w:rFonts w:ascii="Times New Roman" w:hAnsi="Times New Roman" w:cs="Times New Roman"/>
          <w:b/>
          <w:noProof/>
          <w:sz w:val="24"/>
          <w:lang w:val="es-ES_tradnl" w:eastAsia="es-ES_tradnl"/>
        </w:rPr>
        <w:drawing>
          <wp:inline distT="0" distB="0" distL="0" distR="0" wp14:anchorId="09891BA2" wp14:editId="6BF5DCA8">
            <wp:extent cx="5612130" cy="2705100"/>
            <wp:effectExtent l="0" t="0" r="7620" b="0"/>
            <wp:docPr id="6" name="Chart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EFC12EF5-70B2-4FD9-B5F6-C96D289A0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EE6DAA" w14:textId="77777777" w:rsidR="00D20F3D" w:rsidRPr="00D20F3D" w:rsidRDefault="00D508B6" w:rsidP="00D20F3D">
      <w:pPr>
        <w:pStyle w:val="Prrafodelista"/>
        <w:tabs>
          <w:tab w:val="left" w:pos="993"/>
        </w:tabs>
        <w:spacing w:line="360" w:lineRule="auto"/>
        <w:ind w:left="0" w:firstLine="709"/>
        <w:jc w:val="both"/>
        <w:rPr>
          <w:rFonts w:ascii="Times New Roman" w:hAnsi="Times New Roman" w:cs="Times New Roman"/>
          <w:sz w:val="24"/>
        </w:rPr>
      </w:pPr>
      <w:r w:rsidRPr="00D508B6">
        <w:rPr>
          <w:rFonts w:ascii="Times New Roman" w:hAnsi="Times New Roman" w:cs="Times New Roman"/>
          <w:sz w:val="24"/>
        </w:rPr>
        <w:lastRenderedPageBreak/>
        <w:t xml:space="preserve">El PIB per cápita es un muy buen </w:t>
      </w:r>
      <w:r>
        <w:rPr>
          <w:rFonts w:ascii="Times New Roman" w:hAnsi="Times New Roman" w:cs="Times New Roman"/>
          <w:sz w:val="24"/>
        </w:rPr>
        <w:t>i</w:t>
      </w:r>
      <w:r w:rsidRPr="00D508B6">
        <w:rPr>
          <w:rFonts w:ascii="Times New Roman" w:hAnsi="Times New Roman" w:cs="Times New Roman"/>
          <w:sz w:val="24"/>
        </w:rPr>
        <w:t>ndicador del nivel de vida y en el caso de Dinamarca, en 2018, fue de 51.300 euros, por lo que se encuentra en una buena posición</w:t>
      </w:r>
      <w:r w:rsidR="00F24A36">
        <w:rPr>
          <w:rFonts w:ascii="Times New Roman" w:hAnsi="Times New Roman" w:cs="Times New Roman"/>
          <w:sz w:val="24"/>
        </w:rPr>
        <w:t>,</w:t>
      </w:r>
      <w:r w:rsidRPr="00D508B6">
        <w:rPr>
          <w:rFonts w:ascii="Times New Roman" w:hAnsi="Times New Roman" w:cs="Times New Roman"/>
          <w:sz w:val="24"/>
        </w:rPr>
        <w:t xml:space="preserve"> lo que supone que su población tiene un buen nivel de vida en relación </w:t>
      </w:r>
      <w:r w:rsidR="005659E9">
        <w:rPr>
          <w:rFonts w:ascii="Times New Roman" w:hAnsi="Times New Roman" w:cs="Times New Roman"/>
          <w:sz w:val="24"/>
        </w:rPr>
        <w:t>con</w:t>
      </w:r>
      <w:r w:rsidRPr="00D508B6">
        <w:rPr>
          <w:rFonts w:ascii="Times New Roman" w:hAnsi="Times New Roman" w:cs="Times New Roman"/>
          <w:sz w:val="24"/>
        </w:rPr>
        <w:t xml:space="preserve"> los 196 países del ranking de PIB per cápita.</w:t>
      </w:r>
      <w:r w:rsidR="00501228">
        <w:rPr>
          <w:rFonts w:ascii="Times New Roman" w:hAnsi="Times New Roman" w:cs="Times New Roman"/>
          <w:sz w:val="24"/>
        </w:rPr>
        <w:t xml:space="preserve"> La diferencia entre el Producto Interno Bruto de Dinamarca y el de Honduras es casi abismal, y es propio considerar que </w:t>
      </w:r>
      <w:r w:rsidR="00684D59">
        <w:rPr>
          <w:rFonts w:ascii="Times New Roman" w:hAnsi="Times New Roman" w:cs="Times New Roman"/>
          <w:sz w:val="24"/>
        </w:rPr>
        <w:t>Honduras debería de poseer una ventaja considerando que exporta granos básicos, y Dinamarca solamente maquinaria.</w:t>
      </w:r>
    </w:p>
    <w:p w14:paraId="1EF1F837" w14:textId="77777777" w:rsidR="00BE23F3" w:rsidRDefault="00BE23F3" w:rsidP="00BE23F3">
      <w:pPr>
        <w:pStyle w:val="Prrafodelista"/>
        <w:tabs>
          <w:tab w:val="left" w:pos="993"/>
        </w:tabs>
        <w:spacing w:line="360" w:lineRule="auto"/>
        <w:ind w:left="0"/>
        <w:jc w:val="both"/>
        <w:rPr>
          <w:rFonts w:ascii="Times New Roman" w:hAnsi="Times New Roman" w:cs="Times New Roman"/>
          <w:b/>
          <w:sz w:val="24"/>
        </w:rPr>
      </w:pPr>
      <w:r w:rsidRPr="00A077AC">
        <w:rPr>
          <w:rFonts w:ascii="Times New Roman" w:hAnsi="Times New Roman" w:cs="Times New Roman"/>
          <w:b/>
          <w:noProof/>
          <w:lang w:val="es-ES_tradnl" w:eastAsia="es-ES_tradnl"/>
        </w:rPr>
        <w:drawing>
          <wp:inline distT="0" distB="0" distL="0" distR="0" wp14:anchorId="521F0BD2" wp14:editId="0C155B9F">
            <wp:extent cx="5612130" cy="2571750"/>
            <wp:effectExtent l="0" t="0" r="7620" b="0"/>
            <wp:docPr id="7"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1ECCBB2-F8F3-4179-83C2-1AA86D4A8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CC0735" w14:textId="77777777" w:rsidR="00D20F3D" w:rsidRPr="00D20F3D" w:rsidRDefault="00532DF9" w:rsidP="00D20F3D">
      <w:pPr>
        <w:pStyle w:val="Prrafodelista"/>
        <w:tabs>
          <w:tab w:val="left" w:pos="993"/>
        </w:tabs>
        <w:spacing w:line="360" w:lineRule="auto"/>
        <w:ind w:left="0" w:firstLine="709"/>
        <w:jc w:val="both"/>
        <w:rPr>
          <w:rFonts w:ascii="Times New Roman" w:hAnsi="Times New Roman" w:cs="Times New Roman"/>
          <w:sz w:val="24"/>
        </w:rPr>
      </w:pPr>
      <w:r>
        <w:rPr>
          <w:rFonts w:ascii="Times New Roman" w:hAnsi="Times New Roman" w:cs="Times New Roman"/>
          <w:sz w:val="24"/>
        </w:rPr>
        <w:t>Del mismo modo que la diferencia de Producto Interno Bruto es proporcionalmente grande en términos negativos, la proporción entre los ciudadanos demuestra una realidad negativa, considerando que Honduras posee una población que supera en 4 millones de personas a Dinamarca, donde el ciudadano promedio posee más retribución del PIB para con sus necesidades y bienestar.</w:t>
      </w:r>
    </w:p>
    <w:p w14:paraId="053D630F" w14:textId="77777777" w:rsidR="00D20F3D" w:rsidRPr="00532DF9" w:rsidRDefault="00BE23F3" w:rsidP="00532DF9">
      <w:pPr>
        <w:pStyle w:val="Prrafodelista"/>
        <w:tabs>
          <w:tab w:val="left" w:pos="993"/>
        </w:tabs>
        <w:spacing w:line="360" w:lineRule="auto"/>
        <w:ind w:left="0"/>
        <w:jc w:val="both"/>
        <w:rPr>
          <w:rFonts w:ascii="Times New Roman" w:hAnsi="Times New Roman" w:cs="Times New Roman"/>
          <w:b/>
          <w:sz w:val="24"/>
        </w:rPr>
      </w:pPr>
      <w:r w:rsidRPr="00BE23F3">
        <w:rPr>
          <w:rFonts w:ascii="Times New Roman" w:hAnsi="Times New Roman" w:cs="Times New Roman"/>
          <w:b/>
          <w:noProof/>
          <w:sz w:val="24"/>
          <w:lang w:val="es-ES_tradnl" w:eastAsia="es-ES_tradnl"/>
        </w:rPr>
        <w:drawing>
          <wp:inline distT="0" distB="0" distL="0" distR="0" wp14:anchorId="2A689E8E" wp14:editId="0A97857B">
            <wp:extent cx="5612130" cy="2647950"/>
            <wp:effectExtent l="0" t="0" r="7620" b="0"/>
            <wp:docPr id="11" name="Chart 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8B3FC25A-A18E-4670-BB3A-A72BF0795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0DF205" w14:textId="77777777" w:rsidR="00CB5D36" w:rsidRDefault="00725F49" w:rsidP="00BE23F3">
      <w:pPr>
        <w:pStyle w:val="Prrafodelista"/>
        <w:tabs>
          <w:tab w:val="left" w:pos="993"/>
        </w:tabs>
        <w:spacing w:line="360" w:lineRule="auto"/>
        <w:ind w:left="0"/>
        <w:jc w:val="both"/>
        <w:rPr>
          <w:rFonts w:ascii="Times New Roman" w:hAnsi="Times New Roman" w:cs="Times New Roman"/>
          <w:b/>
          <w:sz w:val="24"/>
        </w:rPr>
      </w:pPr>
      <w:r w:rsidRPr="00725F49">
        <w:rPr>
          <w:rFonts w:ascii="Times New Roman" w:hAnsi="Times New Roman" w:cs="Times New Roman"/>
          <w:b/>
          <w:noProof/>
          <w:sz w:val="24"/>
          <w:lang w:val="es-ES_tradnl" w:eastAsia="es-ES_tradnl"/>
        </w:rPr>
        <w:lastRenderedPageBreak/>
        <w:drawing>
          <wp:inline distT="0" distB="0" distL="0" distR="0" wp14:anchorId="71E875A1" wp14:editId="7DF5994C">
            <wp:extent cx="5612130" cy="2914650"/>
            <wp:effectExtent l="0" t="0" r="7620" b="0"/>
            <wp:docPr id="15" name="Chart 1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9BE22DF4-323E-4B95-A6E3-DBA0980A35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0A6CCD" w14:textId="77777777" w:rsidR="00D20F3D" w:rsidRPr="00D20F3D" w:rsidRDefault="009A6719" w:rsidP="00D20F3D">
      <w:pPr>
        <w:pStyle w:val="Prrafodelista"/>
        <w:tabs>
          <w:tab w:val="left" w:pos="993"/>
        </w:tabs>
        <w:spacing w:line="360" w:lineRule="auto"/>
        <w:ind w:left="0" w:firstLine="709"/>
        <w:jc w:val="both"/>
        <w:rPr>
          <w:rFonts w:ascii="Times New Roman" w:hAnsi="Times New Roman" w:cs="Times New Roman"/>
          <w:sz w:val="24"/>
        </w:rPr>
      </w:pPr>
      <w:r>
        <w:rPr>
          <w:rFonts w:ascii="Times New Roman" w:hAnsi="Times New Roman" w:cs="Times New Roman"/>
          <w:sz w:val="24"/>
        </w:rPr>
        <w:t>En tasas de desempleo los Estados mantienen una proporción casi equiparada, sin embargo, esto es debido a que las políticas de atención al ciudadano sin empleo en Dinamarca son sumamente flexibles, donde el ciudadano despedido es reinsertado y remunerado por parte del Estado para que sus condiciones de vida sean estables</w:t>
      </w:r>
      <w:r w:rsidR="00D20F3D">
        <w:rPr>
          <w:rFonts w:ascii="Times New Roman" w:hAnsi="Times New Roman" w:cs="Times New Roman"/>
          <w:sz w:val="24"/>
        </w:rPr>
        <w:t>.</w:t>
      </w:r>
      <w:r>
        <w:rPr>
          <w:rFonts w:ascii="Times New Roman" w:hAnsi="Times New Roman" w:cs="Times New Roman"/>
          <w:sz w:val="24"/>
        </w:rPr>
        <w:t xml:space="preserve"> En el caso de Honduras, la atención al ciudadano desempleado y subempleado es deficitaria.</w:t>
      </w:r>
    </w:p>
    <w:p w14:paraId="2BFCDD26" w14:textId="77777777" w:rsidR="00CB5D36" w:rsidRDefault="00CB5D36" w:rsidP="00BE23F3">
      <w:pPr>
        <w:pStyle w:val="Prrafodelista"/>
        <w:tabs>
          <w:tab w:val="left" w:pos="993"/>
        </w:tabs>
        <w:spacing w:line="360" w:lineRule="auto"/>
        <w:ind w:left="0"/>
        <w:jc w:val="both"/>
        <w:rPr>
          <w:rFonts w:ascii="Times New Roman" w:hAnsi="Times New Roman" w:cs="Times New Roman"/>
          <w:b/>
          <w:sz w:val="24"/>
        </w:rPr>
      </w:pPr>
      <w:r w:rsidRPr="00BE4B1E">
        <w:rPr>
          <w:rFonts w:ascii="Times New Roman" w:hAnsi="Times New Roman" w:cs="Times New Roman"/>
          <w:b/>
          <w:noProof/>
          <w:sz w:val="16"/>
          <w:lang w:val="es-ES_tradnl" w:eastAsia="es-ES_tradnl"/>
        </w:rPr>
        <w:drawing>
          <wp:inline distT="0" distB="0" distL="0" distR="0" wp14:anchorId="5206E388" wp14:editId="6D53BA09">
            <wp:extent cx="5612130" cy="3124200"/>
            <wp:effectExtent l="0" t="0" r="7620" b="0"/>
            <wp:docPr id="13" name="Chart 1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5FC76E0B-76D1-41EE-AE69-826746022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BCCB35" w14:textId="77777777" w:rsidR="00D20F3D" w:rsidRPr="00D20F3D" w:rsidRDefault="009A6719" w:rsidP="00D20F3D">
      <w:pPr>
        <w:pStyle w:val="Prrafodelista"/>
        <w:tabs>
          <w:tab w:val="left" w:pos="993"/>
        </w:tabs>
        <w:spacing w:line="360" w:lineRule="auto"/>
        <w:ind w:left="0" w:firstLine="709"/>
        <w:jc w:val="both"/>
        <w:rPr>
          <w:rFonts w:ascii="Times New Roman" w:hAnsi="Times New Roman" w:cs="Times New Roman"/>
          <w:sz w:val="24"/>
        </w:rPr>
      </w:pPr>
      <w:r>
        <w:rPr>
          <w:rFonts w:ascii="Times New Roman" w:hAnsi="Times New Roman" w:cs="Times New Roman"/>
          <w:sz w:val="24"/>
        </w:rPr>
        <w:t>La única tasa en que Honduras supera a Dinamarca, de manera desafortunada, es la de inflación, y es que la canasta básica de Honduras es altamente costosa y difícilmente asequible, mientras que en Dinamarca es sumamente accesible respecto de las ganancias.</w:t>
      </w:r>
    </w:p>
    <w:p w14:paraId="4BCC5FE8" w14:textId="77777777" w:rsidR="00CB5D36" w:rsidRDefault="005F6B8A" w:rsidP="00BE23F3">
      <w:pPr>
        <w:pStyle w:val="Prrafodelista"/>
        <w:tabs>
          <w:tab w:val="left" w:pos="993"/>
        </w:tabs>
        <w:spacing w:line="360" w:lineRule="auto"/>
        <w:ind w:left="0"/>
        <w:jc w:val="both"/>
        <w:rPr>
          <w:rFonts w:ascii="Times New Roman" w:hAnsi="Times New Roman" w:cs="Times New Roman"/>
          <w:b/>
          <w:sz w:val="24"/>
        </w:rPr>
      </w:pPr>
      <w:r w:rsidRPr="005F6B8A">
        <w:rPr>
          <w:rFonts w:ascii="Times New Roman" w:hAnsi="Times New Roman" w:cs="Times New Roman"/>
          <w:b/>
          <w:noProof/>
          <w:sz w:val="24"/>
          <w:lang w:val="es-ES_tradnl" w:eastAsia="es-ES_tradnl"/>
        </w:rPr>
        <w:lastRenderedPageBreak/>
        <w:drawing>
          <wp:inline distT="0" distB="0" distL="0" distR="0" wp14:anchorId="4014DF1C" wp14:editId="7BC0081D">
            <wp:extent cx="5612130" cy="3248025"/>
            <wp:effectExtent l="0" t="0" r="7620" b="9525"/>
            <wp:docPr id="14" name="Chart 1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B4F20EF4-CBDF-4112-8966-760811A9E6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883533" w14:textId="77777777" w:rsidR="00D20F3D" w:rsidRPr="00D20F3D" w:rsidRDefault="009A6719" w:rsidP="00D20F3D">
      <w:pPr>
        <w:pStyle w:val="Prrafodelista"/>
        <w:tabs>
          <w:tab w:val="left" w:pos="993"/>
        </w:tabs>
        <w:spacing w:line="360" w:lineRule="auto"/>
        <w:ind w:left="0" w:firstLine="709"/>
        <w:jc w:val="both"/>
        <w:rPr>
          <w:rFonts w:ascii="Times New Roman" w:hAnsi="Times New Roman" w:cs="Times New Roman"/>
          <w:sz w:val="24"/>
        </w:rPr>
      </w:pPr>
      <w:r>
        <w:rPr>
          <w:rFonts w:ascii="Times New Roman" w:hAnsi="Times New Roman" w:cs="Times New Roman"/>
          <w:sz w:val="24"/>
        </w:rPr>
        <w:t>En cuanto al Índice del Desarrollo Humano, Honduras ha poseído una cifra constante promedio de 60% sobre un 100%, o un .6 de 1, considerando las condiciones de dignidad y desarrollo, donde Dinamarca ha poseído la cifra exacta por cuatro años consecutivos desde el último censo</w:t>
      </w:r>
      <w:r w:rsidR="00AB3434">
        <w:rPr>
          <w:rFonts w:ascii="Times New Roman" w:hAnsi="Times New Roman" w:cs="Times New Roman"/>
          <w:sz w:val="24"/>
        </w:rPr>
        <w:t>, con un 93% sobre el 100%, demostrando una alta calidad de vida y un bienestar socioeconómico sostenible</w:t>
      </w:r>
      <w:r w:rsidR="00D20F3D">
        <w:rPr>
          <w:rFonts w:ascii="Times New Roman" w:hAnsi="Times New Roman" w:cs="Times New Roman"/>
          <w:sz w:val="24"/>
        </w:rPr>
        <w:t>.</w:t>
      </w:r>
    </w:p>
    <w:p w14:paraId="566DD146" w14:textId="77777777" w:rsidR="00BE23F3" w:rsidRPr="009F7877" w:rsidRDefault="00BE23F3" w:rsidP="00BE23F3">
      <w:pPr>
        <w:pStyle w:val="Prrafodelista"/>
        <w:tabs>
          <w:tab w:val="left" w:pos="993"/>
        </w:tabs>
        <w:spacing w:line="360" w:lineRule="auto"/>
        <w:ind w:left="709"/>
        <w:jc w:val="both"/>
        <w:rPr>
          <w:rFonts w:ascii="Times New Roman" w:hAnsi="Times New Roman" w:cs="Times New Roman"/>
          <w:b/>
          <w:sz w:val="24"/>
        </w:rPr>
      </w:pPr>
    </w:p>
    <w:p w14:paraId="4E024C10" w14:textId="77777777" w:rsidR="0095722A" w:rsidRPr="0095722A" w:rsidRDefault="00967190" w:rsidP="00CD7BF8">
      <w:pPr>
        <w:spacing w:line="360" w:lineRule="auto"/>
        <w:jc w:val="both"/>
        <w:rPr>
          <w:rFonts w:ascii="Times New Roman" w:hAnsi="Times New Roman" w:cs="Times New Roman"/>
          <w:b/>
          <w:sz w:val="24"/>
        </w:rPr>
      </w:pPr>
      <w:r>
        <w:rPr>
          <w:rFonts w:ascii="Times New Roman" w:hAnsi="Times New Roman" w:cs="Times New Roman"/>
          <w:b/>
          <w:sz w:val="24"/>
        </w:rPr>
        <w:t>La economía social de mercado</w:t>
      </w:r>
    </w:p>
    <w:p w14:paraId="492CCF4A" w14:textId="77777777" w:rsidR="0070542C" w:rsidRDefault="000E714A" w:rsidP="00967190">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La </w:t>
      </w:r>
      <w:r w:rsidR="00967190" w:rsidRPr="00967190">
        <w:rPr>
          <w:rFonts w:ascii="Times New Roman" w:hAnsi="Times New Roman" w:cs="Times New Roman"/>
          <w:i/>
          <w:sz w:val="24"/>
        </w:rPr>
        <w:t>e</w:t>
      </w:r>
      <w:r w:rsidR="00677C5D" w:rsidRPr="00967190">
        <w:rPr>
          <w:rFonts w:ascii="Times New Roman" w:hAnsi="Times New Roman" w:cs="Times New Roman"/>
          <w:i/>
          <w:sz w:val="24"/>
        </w:rPr>
        <w:t>conomía</w:t>
      </w:r>
      <w:r w:rsidRPr="00967190">
        <w:rPr>
          <w:rFonts w:ascii="Times New Roman" w:hAnsi="Times New Roman" w:cs="Times New Roman"/>
          <w:i/>
          <w:sz w:val="24"/>
        </w:rPr>
        <w:t xml:space="preserve"> </w:t>
      </w:r>
      <w:r w:rsidR="00967190" w:rsidRPr="00967190">
        <w:rPr>
          <w:rFonts w:ascii="Times New Roman" w:hAnsi="Times New Roman" w:cs="Times New Roman"/>
          <w:i/>
          <w:sz w:val="24"/>
        </w:rPr>
        <w:t>s</w:t>
      </w:r>
      <w:r w:rsidRPr="00967190">
        <w:rPr>
          <w:rFonts w:ascii="Times New Roman" w:hAnsi="Times New Roman" w:cs="Times New Roman"/>
          <w:i/>
          <w:sz w:val="24"/>
        </w:rPr>
        <w:t xml:space="preserve">ocial de </w:t>
      </w:r>
      <w:r w:rsidR="00967190" w:rsidRPr="00967190">
        <w:rPr>
          <w:rFonts w:ascii="Times New Roman" w:hAnsi="Times New Roman" w:cs="Times New Roman"/>
          <w:i/>
          <w:sz w:val="24"/>
        </w:rPr>
        <w:t>m</w:t>
      </w:r>
      <w:r w:rsidRPr="00967190">
        <w:rPr>
          <w:rFonts w:ascii="Times New Roman" w:hAnsi="Times New Roman" w:cs="Times New Roman"/>
          <w:i/>
          <w:sz w:val="24"/>
        </w:rPr>
        <w:t>ercado</w:t>
      </w:r>
      <w:r>
        <w:rPr>
          <w:rFonts w:ascii="Times New Roman" w:hAnsi="Times New Roman" w:cs="Times New Roman"/>
          <w:sz w:val="24"/>
        </w:rPr>
        <w:t xml:space="preserve"> e</w:t>
      </w:r>
      <w:r w:rsidR="00401CF8">
        <w:rPr>
          <w:rFonts w:ascii="Times New Roman" w:hAnsi="Times New Roman" w:cs="Times New Roman"/>
          <w:sz w:val="24"/>
        </w:rPr>
        <w:t xml:space="preserve">s una combinación entre </w:t>
      </w:r>
      <w:r w:rsidR="00401CF8" w:rsidRPr="00401CF8">
        <w:rPr>
          <w:rFonts w:ascii="Times New Roman" w:hAnsi="Times New Roman" w:cs="Times New Roman"/>
          <w:sz w:val="24"/>
        </w:rPr>
        <w:t>una estructura capitalista y los principios del libre mercado con un ampl</w:t>
      </w:r>
      <w:r w:rsidR="003230E8">
        <w:rPr>
          <w:rFonts w:ascii="Times New Roman" w:hAnsi="Times New Roman" w:cs="Times New Roman"/>
          <w:sz w:val="24"/>
        </w:rPr>
        <w:t xml:space="preserve">io sistema de bienestar social. </w:t>
      </w:r>
      <w:r w:rsidR="00677C5D">
        <w:rPr>
          <w:rFonts w:ascii="Times New Roman" w:hAnsi="Times New Roman" w:cs="Times New Roman"/>
          <w:sz w:val="24"/>
        </w:rPr>
        <w:t>Características</w:t>
      </w:r>
      <w:r w:rsidR="003230E8">
        <w:rPr>
          <w:rFonts w:ascii="Times New Roman" w:hAnsi="Times New Roman" w:cs="Times New Roman"/>
          <w:sz w:val="24"/>
        </w:rPr>
        <w:t xml:space="preserve"> de este modelo es el alto nivel de gasto </w:t>
      </w:r>
      <w:r w:rsidR="00677C5D">
        <w:rPr>
          <w:rFonts w:ascii="Times New Roman" w:hAnsi="Times New Roman" w:cs="Times New Roman"/>
          <w:sz w:val="24"/>
        </w:rPr>
        <w:t>público</w:t>
      </w:r>
      <w:r w:rsidR="003230E8">
        <w:rPr>
          <w:rFonts w:ascii="Times New Roman" w:hAnsi="Times New Roman" w:cs="Times New Roman"/>
          <w:sz w:val="24"/>
        </w:rPr>
        <w:t xml:space="preserve"> en </w:t>
      </w:r>
      <w:r w:rsidR="00677C5D">
        <w:rPr>
          <w:rFonts w:ascii="Times New Roman" w:hAnsi="Times New Roman" w:cs="Times New Roman"/>
          <w:sz w:val="24"/>
        </w:rPr>
        <w:t>protección</w:t>
      </w:r>
      <w:r w:rsidR="003230E8">
        <w:rPr>
          <w:rFonts w:ascii="Times New Roman" w:hAnsi="Times New Roman" w:cs="Times New Roman"/>
          <w:sz w:val="24"/>
        </w:rPr>
        <w:t xml:space="preserve"> social, la existencia de mercados laborales poco regulados y la presencia de fuertes sindicatos. </w:t>
      </w:r>
      <w:r>
        <w:rPr>
          <w:rFonts w:ascii="Times New Roman" w:hAnsi="Times New Roman" w:cs="Times New Roman"/>
          <w:sz w:val="24"/>
        </w:rPr>
        <w:t>El papel principal de</w:t>
      </w:r>
      <w:r w:rsidR="009A6719">
        <w:rPr>
          <w:rFonts w:ascii="Times New Roman" w:hAnsi="Times New Roman" w:cs="Times New Roman"/>
          <w:sz w:val="24"/>
        </w:rPr>
        <w:t xml:space="preserve"> los </w:t>
      </w:r>
      <w:r>
        <w:rPr>
          <w:rFonts w:ascii="Times New Roman" w:hAnsi="Times New Roman" w:cs="Times New Roman"/>
          <w:sz w:val="24"/>
        </w:rPr>
        <w:t>gobierno</w:t>
      </w:r>
      <w:r w:rsidR="009A6719">
        <w:rPr>
          <w:rFonts w:ascii="Times New Roman" w:hAnsi="Times New Roman" w:cs="Times New Roman"/>
          <w:sz w:val="24"/>
        </w:rPr>
        <w:t>s</w:t>
      </w:r>
      <w:r>
        <w:rPr>
          <w:rFonts w:ascii="Times New Roman" w:hAnsi="Times New Roman" w:cs="Times New Roman"/>
          <w:sz w:val="24"/>
        </w:rPr>
        <w:t xml:space="preserve"> es intervenir para contrarrestar las desigualdades que son originadas por una libre concentración de dinero en pocas manos. Para poder llevar </w:t>
      </w:r>
      <w:r w:rsidR="00677C5D">
        <w:rPr>
          <w:rFonts w:ascii="Times New Roman" w:hAnsi="Times New Roman" w:cs="Times New Roman"/>
          <w:sz w:val="24"/>
        </w:rPr>
        <w:t>a cabo</w:t>
      </w:r>
      <w:r>
        <w:rPr>
          <w:rFonts w:ascii="Times New Roman" w:hAnsi="Times New Roman" w:cs="Times New Roman"/>
          <w:sz w:val="24"/>
        </w:rPr>
        <w:t xml:space="preserve"> este objetivo, e</w:t>
      </w:r>
      <w:r w:rsidRPr="000E714A">
        <w:rPr>
          <w:rFonts w:ascii="Times New Roman" w:hAnsi="Times New Roman" w:cs="Times New Roman"/>
          <w:sz w:val="24"/>
        </w:rPr>
        <w:t xml:space="preserve">l gobierno </w:t>
      </w:r>
      <w:r w:rsidR="001D200F">
        <w:rPr>
          <w:rFonts w:ascii="Times New Roman" w:hAnsi="Times New Roman" w:cs="Times New Roman"/>
          <w:sz w:val="24"/>
        </w:rPr>
        <w:t xml:space="preserve">ha decidido </w:t>
      </w:r>
      <w:r>
        <w:rPr>
          <w:rFonts w:ascii="Times New Roman" w:hAnsi="Times New Roman" w:cs="Times New Roman"/>
          <w:sz w:val="24"/>
        </w:rPr>
        <w:t xml:space="preserve">invertir casi la mitad de sus ingresos </w:t>
      </w:r>
      <w:r w:rsidR="001D200F">
        <w:rPr>
          <w:rFonts w:ascii="Times New Roman" w:hAnsi="Times New Roman" w:cs="Times New Roman"/>
          <w:sz w:val="24"/>
        </w:rPr>
        <w:t xml:space="preserve">en programas sociales para brindar a sus </w:t>
      </w:r>
      <w:r w:rsidR="00677C5D">
        <w:rPr>
          <w:rFonts w:ascii="Times New Roman" w:hAnsi="Times New Roman" w:cs="Times New Roman"/>
          <w:sz w:val="24"/>
        </w:rPr>
        <w:t>ciudadanos</w:t>
      </w:r>
      <w:r w:rsidR="001D200F">
        <w:rPr>
          <w:rFonts w:ascii="Times New Roman" w:hAnsi="Times New Roman" w:cs="Times New Roman"/>
          <w:sz w:val="24"/>
        </w:rPr>
        <w:t xml:space="preserve"> una seguridad </w:t>
      </w:r>
      <w:r w:rsidRPr="000E714A">
        <w:rPr>
          <w:rFonts w:ascii="Times New Roman" w:hAnsi="Times New Roman" w:cs="Times New Roman"/>
          <w:sz w:val="24"/>
        </w:rPr>
        <w:t>so</w:t>
      </w:r>
      <w:r w:rsidR="001D200F">
        <w:rPr>
          <w:rFonts w:ascii="Times New Roman" w:hAnsi="Times New Roman" w:cs="Times New Roman"/>
          <w:sz w:val="24"/>
        </w:rPr>
        <w:t>cial y una educación suficiente, de manera que la población logre desarrollarse más efectivamente</w:t>
      </w:r>
      <w:r w:rsidRPr="000E714A">
        <w:rPr>
          <w:rFonts w:ascii="Times New Roman" w:hAnsi="Times New Roman" w:cs="Times New Roman"/>
          <w:sz w:val="24"/>
        </w:rPr>
        <w:t>.</w:t>
      </w:r>
    </w:p>
    <w:p w14:paraId="57191CAD" w14:textId="77777777" w:rsidR="00AD6DAD" w:rsidRDefault="00AD6DAD" w:rsidP="00967190">
      <w:pPr>
        <w:spacing w:line="360" w:lineRule="auto"/>
        <w:ind w:firstLine="706"/>
        <w:jc w:val="both"/>
        <w:rPr>
          <w:rFonts w:ascii="Times New Roman" w:hAnsi="Times New Roman" w:cs="Times New Roman"/>
          <w:sz w:val="24"/>
        </w:rPr>
      </w:pPr>
      <w:r>
        <w:rPr>
          <w:rFonts w:ascii="Times New Roman" w:hAnsi="Times New Roman" w:cs="Times New Roman"/>
          <w:sz w:val="24"/>
        </w:rPr>
        <w:lastRenderedPageBreak/>
        <w:t>Por otra parte, la clase empresarial juega un pap</w:t>
      </w:r>
      <w:r w:rsidR="00521293">
        <w:rPr>
          <w:rFonts w:ascii="Times New Roman" w:hAnsi="Times New Roman" w:cs="Times New Roman"/>
          <w:sz w:val="24"/>
        </w:rPr>
        <w:t xml:space="preserve">el en el cumplimiento del </w:t>
      </w:r>
      <w:r w:rsidR="00677C5D">
        <w:rPr>
          <w:rFonts w:ascii="Times New Roman" w:hAnsi="Times New Roman" w:cs="Times New Roman"/>
          <w:sz w:val="24"/>
        </w:rPr>
        <w:t>principio</w:t>
      </w:r>
      <w:r w:rsidR="00521293">
        <w:rPr>
          <w:rFonts w:ascii="Times New Roman" w:hAnsi="Times New Roman" w:cs="Times New Roman"/>
          <w:sz w:val="24"/>
        </w:rPr>
        <w:t xml:space="preserve"> de la “flexibilidad” del pacto s</w:t>
      </w:r>
      <w:r>
        <w:rPr>
          <w:rFonts w:ascii="Times New Roman" w:hAnsi="Times New Roman" w:cs="Times New Roman"/>
          <w:sz w:val="24"/>
        </w:rPr>
        <w:t>o</w:t>
      </w:r>
      <w:r w:rsidR="00521293">
        <w:rPr>
          <w:rFonts w:ascii="Times New Roman" w:hAnsi="Times New Roman" w:cs="Times New Roman"/>
          <w:sz w:val="24"/>
        </w:rPr>
        <w:t>c</w:t>
      </w:r>
      <w:r>
        <w:rPr>
          <w:rFonts w:ascii="Times New Roman" w:hAnsi="Times New Roman" w:cs="Times New Roman"/>
          <w:sz w:val="24"/>
        </w:rPr>
        <w:t xml:space="preserve">ial establecido. La </w:t>
      </w:r>
      <w:r w:rsidR="00677C5D">
        <w:rPr>
          <w:rFonts w:ascii="Times New Roman" w:hAnsi="Times New Roman" w:cs="Times New Roman"/>
          <w:sz w:val="24"/>
        </w:rPr>
        <w:t>aceptación</w:t>
      </w:r>
      <w:r>
        <w:rPr>
          <w:rFonts w:ascii="Times New Roman" w:hAnsi="Times New Roman" w:cs="Times New Roman"/>
          <w:sz w:val="24"/>
        </w:rPr>
        <w:t xml:space="preserve"> de este pacto, significo que </w:t>
      </w:r>
      <w:r w:rsidR="00521293">
        <w:rPr>
          <w:rFonts w:ascii="Times New Roman" w:hAnsi="Times New Roman" w:cs="Times New Roman"/>
          <w:sz w:val="24"/>
        </w:rPr>
        <w:t xml:space="preserve">las rentas salariales estuvieran relacionadas con la productividad, para </w:t>
      </w:r>
      <w:r w:rsidR="00677C5D">
        <w:rPr>
          <w:rFonts w:ascii="Times New Roman" w:hAnsi="Times New Roman" w:cs="Times New Roman"/>
          <w:sz w:val="24"/>
        </w:rPr>
        <w:t>así</w:t>
      </w:r>
      <w:r w:rsidR="00521293">
        <w:rPr>
          <w:rFonts w:ascii="Times New Roman" w:hAnsi="Times New Roman" w:cs="Times New Roman"/>
          <w:sz w:val="24"/>
        </w:rPr>
        <w:t xml:space="preserve"> evitar una </w:t>
      </w:r>
      <w:r w:rsidR="00677C5D">
        <w:rPr>
          <w:rFonts w:ascii="Times New Roman" w:hAnsi="Times New Roman" w:cs="Times New Roman"/>
          <w:sz w:val="24"/>
        </w:rPr>
        <w:t>inflación</w:t>
      </w:r>
      <w:r w:rsidR="00521293">
        <w:rPr>
          <w:rFonts w:ascii="Times New Roman" w:hAnsi="Times New Roman" w:cs="Times New Roman"/>
          <w:sz w:val="24"/>
        </w:rPr>
        <w:t xml:space="preserve"> y preservar la </w:t>
      </w:r>
      <w:r w:rsidR="00677C5D">
        <w:rPr>
          <w:rFonts w:ascii="Times New Roman" w:hAnsi="Times New Roman" w:cs="Times New Roman"/>
          <w:sz w:val="24"/>
        </w:rPr>
        <w:t>competitividad</w:t>
      </w:r>
      <w:r w:rsidR="00521293">
        <w:rPr>
          <w:rFonts w:ascii="Times New Roman" w:hAnsi="Times New Roman" w:cs="Times New Roman"/>
          <w:sz w:val="24"/>
        </w:rPr>
        <w:t xml:space="preserve">. Para evitar los riesgos del mercado, los trabajadores asumieron la responsabilidad de aumentar su capacidad continuamente y su disponibilidad en otras industrias o puestos de trabajo. Por lo tanto, para que exista la </w:t>
      </w:r>
      <w:r w:rsidR="00677C5D">
        <w:rPr>
          <w:rFonts w:ascii="Times New Roman" w:hAnsi="Times New Roman" w:cs="Times New Roman"/>
          <w:sz w:val="24"/>
        </w:rPr>
        <w:t>flexibilidad</w:t>
      </w:r>
      <w:r w:rsidR="00521293">
        <w:rPr>
          <w:rFonts w:ascii="Times New Roman" w:hAnsi="Times New Roman" w:cs="Times New Roman"/>
          <w:sz w:val="24"/>
        </w:rPr>
        <w:t xml:space="preserve"> laboral y </w:t>
      </w:r>
      <w:r w:rsidR="00677C5D">
        <w:rPr>
          <w:rFonts w:ascii="Times New Roman" w:hAnsi="Times New Roman" w:cs="Times New Roman"/>
          <w:sz w:val="24"/>
        </w:rPr>
        <w:t>la</w:t>
      </w:r>
      <w:r w:rsidR="00521293">
        <w:rPr>
          <w:rFonts w:ascii="Times New Roman" w:hAnsi="Times New Roman" w:cs="Times New Roman"/>
          <w:sz w:val="24"/>
        </w:rPr>
        <w:t xml:space="preserve"> eficiencia </w:t>
      </w:r>
      <w:r w:rsidR="00677C5D">
        <w:rPr>
          <w:rFonts w:ascii="Times New Roman" w:hAnsi="Times New Roman" w:cs="Times New Roman"/>
          <w:sz w:val="24"/>
        </w:rPr>
        <w:t>económica</w:t>
      </w:r>
      <w:r w:rsidR="00521293">
        <w:rPr>
          <w:rFonts w:ascii="Times New Roman" w:hAnsi="Times New Roman" w:cs="Times New Roman"/>
          <w:sz w:val="24"/>
        </w:rPr>
        <w:t>, ambas entidades se encargan que exista una alta cobertura social.</w:t>
      </w:r>
    </w:p>
    <w:p w14:paraId="796E0E08" w14:textId="77777777" w:rsidR="006C1899" w:rsidRPr="00401CF8" w:rsidRDefault="00A93149" w:rsidP="00967190">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De igual forma, </w:t>
      </w:r>
      <w:r w:rsidR="00AB69C6">
        <w:rPr>
          <w:rFonts w:ascii="Times New Roman" w:hAnsi="Times New Roman" w:cs="Times New Roman"/>
          <w:sz w:val="24"/>
        </w:rPr>
        <w:t>los</w:t>
      </w:r>
      <w:r>
        <w:rPr>
          <w:rFonts w:ascii="Times New Roman" w:hAnsi="Times New Roman" w:cs="Times New Roman"/>
          <w:sz w:val="24"/>
        </w:rPr>
        <w:t xml:space="preserve"> </w:t>
      </w:r>
      <w:r w:rsidR="00677C5D">
        <w:rPr>
          <w:rFonts w:ascii="Times New Roman" w:hAnsi="Times New Roman" w:cs="Times New Roman"/>
          <w:sz w:val="24"/>
        </w:rPr>
        <w:t>país</w:t>
      </w:r>
      <w:r w:rsidR="00AB69C6">
        <w:rPr>
          <w:rFonts w:ascii="Times New Roman" w:hAnsi="Times New Roman" w:cs="Times New Roman"/>
          <w:sz w:val="24"/>
        </w:rPr>
        <w:t>es</w:t>
      </w:r>
      <w:r>
        <w:rPr>
          <w:rFonts w:ascii="Times New Roman" w:hAnsi="Times New Roman" w:cs="Times New Roman"/>
          <w:sz w:val="24"/>
        </w:rPr>
        <w:t xml:space="preserve"> h</w:t>
      </w:r>
      <w:r w:rsidR="00AB69C6">
        <w:rPr>
          <w:rFonts w:ascii="Times New Roman" w:hAnsi="Times New Roman" w:cs="Times New Roman"/>
          <w:sz w:val="24"/>
        </w:rPr>
        <w:t>an</w:t>
      </w:r>
      <w:r>
        <w:rPr>
          <w:rFonts w:ascii="Times New Roman" w:hAnsi="Times New Roman" w:cs="Times New Roman"/>
          <w:sz w:val="24"/>
        </w:rPr>
        <w:t xml:space="preserve"> </w:t>
      </w:r>
      <w:r w:rsidR="00677C5D">
        <w:rPr>
          <w:rFonts w:ascii="Times New Roman" w:hAnsi="Times New Roman" w:cs="Times New Roman"/>
          <w:sz w:val="24"/>
        </w:rPr>
        <w:t>priorizado</w:t>
      </w:r>
      <w:r>
        <w:rPr>
          <w:rFonts w:ascii="Times New Roman" w:hAnsi="Times New Roman" w:cs="Times New Roman"/>
          <w:sz w:val="24"/>
        </w:rPr>
        <w:t xml:space="preserve"> la calidad de vida de sus ciudadanos que el crecimiento </w:t>
      </w:r>
      <w:r w:rsidR="00677C5D">
        <w:rPr>
          <w:rFonts w:ascii="Times New Roman" w:hAnsi="Times New Roman" w:cs="Times New Roman"/>
          <w:sz w:val="24"/>
        </w:rPr>
        <w:t>económico</w:t>
      </w:r>
      <w:r>
        <w:rPr>
          <w:rFonts w:ascii="Times New Roman" w:hAnsi="Times New Roman" w:cs="Times New Roman"/>
          <w:sz w:val="24"/>
        </w:rPr>
        <w:t xml:space="preserve">. Reflejo de ello es el hecho que </w:t>
      </w:r>
      <w:r w:rsidR="00D20F3D">
        <w:rPr>
          <w:rFonts w:ascii="Times New Roman" w:hAnsi="Times New Roman" w:cs="Times New Roman"/>
          <w:sz w:val="24"/>
        </w:rPr>
        <w:t>los</w:t>
      </w:r>
      <w:r>
        <w:rPr>
          <w:rFonts w:ascii="Times New Roman" w:hAnsi="Times New Roman" w:cs="Times New Roman"/>
          <w:sz w:val="24"/>
        </w:rPr>
        <w:t xml:space="preserve"> </w:t>
      </w:r>
      <w:r w:rsidR="00677C5D">
        <w:rPr>
          <w:rFonts w:ascii="Times New Roman" w:hAnsi="Times New Roman" w:cs="Times New Roman"/>
          <w:sz w:val="24"/>
        </w:rPr>
        <w:t>país</w:t>
      </w:r>
      <w:r w:rsidR="00D20F3D">
        <w:rPr>
          <w:rFonts w:ascii="Times New Roman" w:hAnsi="Times New Roman" w:cs="Times New Roman"/>
          <w:sz w:val="24"/>
        </w:rPr>
        <w:t>es</w:t>
      </w:r>
      <w:r>
        <w:rPr>
          <w:rFonts w:ascii="Times New Roman" w:hAnsi="Times New Roman" w:cs="Times New Roman"/>
          <w:sz w:val="24"/>
        </w:rPr>
        <w:t xml:space="preserve"> distribuye</w:t>
      </w:r>
      <w:r w:rsidR="00D20F3D">
        <w:rPr>
          <w:rFonts w:ascii="Times New Roman" w:hAnsi="Times New Roman" w:cs="Times New Roman"/>
          <w:sz w:val="24"/>
        </w:rPr>
        <w:t>n</w:t>
      </w:r>
      <w:r>
        <w:rPr>
          <w:rFonts w:ascii="Times New Roman" w:hAnsi="Times New Roman" w:cs="Times New Roman"/>
          <w:sz w:val="24"/>
        </w:rPr>
        <w:t xml:space="preserve"> los beneficios de sus recursos naturales: por ejemplo</w:t>
      </w:r>
      <w:r w:rsidR="00D20F3D">
        <w:rPr>
          <w:rFonts w:ascii="Times New Roman" w:hAnsi="Times New Roman" w:cs="Times New Roman"/>
          <w:sz w:val="24"/>
        </w:rPr>
        <w:t>,</w:t>
      </w:r>
      <w:r>
        <w:rPr>
          <w:rFonts w:ascii="Times New Roman" w:hAnsi="Times New Roman" w:cs="Times New Roman"/>
          <w:sz w:val="24"/>
        </w:rPr>
        <w:t xml:space="preserve"> el agua termal (originada de los volcanes) es distribuida gratuitamente en todos los hogares, y para la energía eléctrica solo se paga el mantenimiento de las maquinas hidroeléctricas</w:t>
      </w:r>
      <w:r w:rsidR="00D20F3D">
        <w:rPr>
          <w:rFonts w:ascii="Times New Roman" w:hAnsi="Times New Roman" w:cs="Times New Roman"/>
          <w:sz w:val="24"/>
        </w:rPr>
        <w:t xml:space="preserve">, </w:t>
      </w:r>
      <w:r>
        <w:rPr>
          <w:rFonts w:ascii="Times New Roman" w:hAnsi="Times New Roman" w:cs="Times New Roman"/>
          <w:sz w:val="24"/>
        </w:rPr>
        <w:t>dando como resultado un precio menor</w:t>
      </w:r>
      <w:r w:rsidR="00D20F3D">
        <w:rPr>
          <w:rFonts w:ascii="Times New Roman" w:hAnsi="Times New Roman" w:cs="Times New Roman"/>
          <w:sz w:val="24"/>
        </w:rPr>
        <w:t>.</w:t>
      </w:r>
      <w:r w:rsidR="00754ED5">
        <w:rPr>
          <w:rFonts w:ascii="Times New Roman" w:hAnsi="Times New Roman" w:cs="Times New Roman"/>
          <w:sz w:val="24"/>
        </w:rPr>
        <w:t xml:space="preserve"> </w:t>
      </w:r>
      <w:r w:rsidR="00AE52C2">
        <w:rPr>
          <w:rFonts w:ascii="Times New Roman" w:hAnsi="Times New Roman" w:cs="Times New Roman"/>
          <w:sz w:val="24"/>
        </w:rPr>
        <w:t>Si la persona se encuentra en una situación de desempleo, esta es otorgada un préstamo.</w:t>
      </w:r>
      <w:r w:rsidR="00126F10">
        <w:rPr>
          <w:rFonts w:ascii="Times New Roman" w:hAnsi="Times New Roman" w:cs="Times New Roman"/>
          <w:sz w:val="24"/>
        </w:rPr>
        <w:t xml:space="preserve"> </w:t>
      </w:r>
      <w:r w:rsidR="00F755F3">
        <w:rPr>
          <w:rFonts w:ascii="Times New Roman" w:hAnsi="Times New Roman" w:cs="Times New Roman"/>
          <w:sz w:val="24"/>
        </w:rPr>
        <w:t>Esta economía</w:t>
      </w:r>
      <w:r w:rsidR="00042502">
        <w:rPr>
          <w:rFonts w:ascii="Times New Roman" w:hAnsi="Times New Roman" w:cs="Times New Roman"/>
          <w:sz w:val="24"/>
        </w:rPr>
        <w:t xml:space="preserve"> se basa en un sistema tributario, donde el Estado retribuye los altos impuestos (entre </w:t>
      </w:r>
      <w:r w:rsidR="00677C5D">
        <w:rPr>
          <w:rFonts w:ascii="Times New Roman" w:hAnsi="Times New Roman" w:cs="Times New Roman"/>
          <w:sz w:val="24"/>
        </w:rPr>
        <w:t>más</w:t>
      </w:r>
      <w:r w:rsidR="00042502">
        <w:rPr>
          <w:rFonts w:ascii="Times New Roman" w:hAnsi="Times New Roman" w:cs="Times New Roman"/>
          <w:sz w:val="24"/>
        </w:rPr>
        <w:t xml:space="preserve"> sea el ingreso </w:t>
      </w:r>
      <w:r w:rsidR="00677C5D">
        <w:rPr>
          <w:rFonts w:ascii="Times New Roman" w:hAnsi="Times New Roman" w:cs="Times New Roman"/>
          <w:sz w:val="24"/>
        </w:rPr>
        <w:t>más</w:t>
      </w:r>
      <w:r w:rsidR="00042502">
        <w:rPr>
          <w:rFonts w:ascii="Times New Roman" w:hAnsi="Times New Roman" w:cs="Times New Roman"/>
          <w:sz w:val="24"/>
        </w:rPr>
        <w:t xml:space="preserve"> alto </w:t>
      </w:r>
      <w:r w:rsidR="00677C5D">
        <w:rPr>
          <w:rFonts w:ascii="Times New Roman" w:hAnsi="Times New Roman" w:cs="Times New Roman"/>
          <w:sz w:val="24"/>
        </w:rPr>
        <w:t>será</w:t>
      </w:r>
      <w:r w:rsidR="00042502">
        <w:rPr>
          <w:rFonts w:ascii="Times New Roman" w:hAnsi="Times New Roman" w:cs="Times New Roman"/>
          <w:sz w:val="24"/>
        </w:rPr>
        <w:t xml:space="preserve"> la tasa) de los islandeses </w:t>
      </w:r>
      <w:r w:rsidR="006C1899">
        <w:rPr>
          <w:rFonts w:ascii="Times New Roman" w:hAnsi="Times New Roman" w:cs="Times New Roman"/>
          <w:sz w:val="24"/>
        </w:rPr>
        <w:t xml:space="preserve">en esta </w:t>
      </w:r>
      <w:r w:rsidR="00677C5D">
        <w:rPr>
          <w:rFonts w:ascii="Times New Roman" w:hAnsi="Times New Roman" w:cs="Times New Roman"/>
          <w:sz w:val="24"/>
        </w:rPr>
        <w:t>área</w:t>
      </w:r>
      <w:r w:rsidR="006C1899">
        <w:rPr>
          <w:rFonts w:ascii="Times New Roman" w:hAnsi="Times New Roman" w:cs="Times New Roman"/>
          <w:sz w:val="24"/>
        </w:rPr>
        <w:t xml:space="preserve"> de desarrollo humano.</w:t>
      </w:r>
    </w:p>
    <w:p w14:paraId="0E1D4C69" w14:textId="77777777" w:rsidR="001D200F" w:rsidRDefault="001A2527" w:rsidP="00CD7BF8">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La salida de </w:t>
      </w:r>
      <w:r w:rsidR="00677C5D">
        <w:rPr>
          <w:rFonts w:ascii="Times New Roman" w:hAnsi="Times New Roman" w:cs="Times New Roman"/>
          <w:sz w:val="24"/>
        </w:rPr>
        <w:t xml:space="preserve">sus crisis </w:t>
      </w:r>
      <w:r w:rsidR="00F755F3">
        <w:rPr>
          <w:rFonts w:ascii="Times New Roman" w:hAnsi="Times New Roman" w:cs="Times New Roman"/>
          <w:sz w:val="24"/>
        </w:rPr>
        <w:t>financieras</w:t>
      </w:r>
      <w:r>
        <w:rPr>
          <w:rFonts w:ascii="Times New Roman" w:hAnsi="Times New Roman" w:cs="Times New Roman"/>
          <w:sz w:val="24"/>
        </w:rPr>
        <w:t xml:space="preserve"> ha </w:t>
      </w:r>
      <w:r w:rsidR="003B527E">
        <w:rPr>
          <w:rFonts w:ascii="Times New Roman" w:hAnsi="Times New Roman" w:cs="Times New Roman"/>
          <w:sz w:val="24"/>
        </w:rPr>
        <w:t xml:space="preserve">atraído la inversión al sector del </w:t>
      </w:r>
      <w:r w:rsidR="00677C5D">
        <w:rPr>
          <w:rFonts w:ascii="Times New Roman" w:hAnsi="Times New Roman" w:cs="Times New Roman"/>
          <w:sz w:val="24"/>
        </w:rPr>
        <w:t>aluminio</w:t>
      </w:r>
      <w:r w:rsidR="003B527E">
        <w:rPr>
          <w:rFonts w:ascii="Times New Roman" w:hAnsi="Times New Roman" w:cs="Times New Roman"/>
          <w:sz w:val="24"/>
        </w:rPr>
        <w:t>,  debido a sus a</w:t>
      </w:r>
      <w:r w:rsidR="00401CF8" w:rsidRPr="00401CF8">
        <w:rPr>
          <w:rFonts w:ascii="Times New Roman" w:hAnsi="Times New Roman" w:cs="Times New Roman"/>
          <w:sz w:val="24"/>
        </w:rPr>
        <w:t>bundantes fuentes geotérmicas e hidroeléctricas</w:t>
      </w:r>
      <w:r w:rsidR="003B527E">
        <w:rPr>
          <w:rFonts w:ascii="Times New Roman" w:hAnsi="Times New Roman" w:cs="Times New Roman"/>
          <w:sz w:val="24"/>
        </w:rPr>
        <w:t xml:space="preserve">. De igual forma, el </w:t>
      </w:r>
      <w:r w:rsidR="00677C5D">
        <w:rPr>
          <w:rFonts w:ascii="Times New Roman" w:hAnsi="Times New Roman" w:cs="Times New Roman"/>
          <w:sz w:val="24"/>
        </w:rPr>
        <w:t>país</w:t>
      </w:r>
      <w:r w:rsidR="003B527E">
        <w:rPr>
          <w:rFonts w:ascii="Times New Roman" w:hAnsi="Times New Roman" w:cs="Times New Roman"/>
          <w:sz w:val="24"/>
        </w:rPr>
        <w:t xml:space="preserve"> ha invertido millones de euros en la capital de Islandia para convertirla en una zona de turismo.</w:t>
      </w:r>
      <w:r w:rsidR="00401CF8" w:rsidRPr="00401CF8">
        <w:rPr>
          <w:rFonts w:ascii="Times New Roman" w:hAnsi="Times New Roman" w:cs="Times New Roman"/>
          <w:sz w:val="24"/>
        </w:rPr>
        <w:t xml:space="preserve"> </w:t>
      </w:r>
    </w:p>
    <w:p w14:paraId="1509033B" w14:textId="77777777" w:rsidR="00216C98" w:rsidRDefault="00216C98" w:rsidP="00CD7BF8">
      <w:pPr>
        <w:spacing w:line="360" w:lineRule="auto"/>
        <w:jc w:val="both"/>
        <w:rPr>
          <w:rFonts w:ascii="Times New Roman" w:hAnsi="Times New Roman" w:cs="Times New Roman"/>
          <w:sz w:val="24"/>
        </w:rPr>
      </w:pPr>
    </w:p>
    <w:p w14:paraId="15CDB2EC" w14:textId="77777777" w:rsidR="000E714A" w:rsidRPr="00752D93" w:rsidRDefault="00752D93" w:rsidP="00CD7BF8">
      <w:pPr>
        <w:spacing w:line="360" w:lineRule="auto"/>
        <w:jc w:val="both"/>
        <w:rPr>
          <w:rFonts w:ascii="Times New Roman" w:hAnsi="Times New Roman" w:cs="Times New Roman"/>
          <w:b/>
          <w:sz w:val="24"/>
        </w:rPr>
      </w:pPr>
      <w:r>
        <w:rPr>
          <w:rFonts w:ascii="Times New Roman" w:hAnsi="Times New Roman" w:cs="Times New Roman"/>
          <w:b/>
          <w:sz w:val="24"/>
        </w:rPr>
        <w:t>Conclusiones</w:t>
      </w:r>
    </w:p>
    <w:p w14:paraId="0F55BBF6" w14:textId="77777777" w:rsidR="0070542C" w:rsidRPr="0070542C" w:rsidRDefault="00D115CF" w:rsidP="00F06B9C">
      <w:pPr>
        <w:spacing w:line="360" w:lineRule="auto"/>
        <w:ind w:firstLine="706"/>
        <w:jc w:val="both"/>
        <w:rPr>
          <w:rFonts w:ascii="Times New Roman" w:hAnsi="Times New Roman" w:cs="Times New Roman"/>
          <w:sz w:val="24"/>
        </w:rPr>
      </w:pPr>
      <w:r>
        <w:rPr>
          <w:rFonts w:ascii="Times New Roman" w:hAnsi="Times New Roman" w:cs="Times New Roman"/>
          <w:sz w:val="24"/>
        </w:rPr>
        <w:t xml:space="preserve">Este modelo permite que se desarrolle una capacidad para adaptar la </w:t>
      </w:r>
      <w:r w:rsidR="00B63359">
        <w:rPr>
          <w:rFonts w:ascii="Times New Roman" w:hAnsi="Times New Roman" w:cs="Times New Roman"/>
          <w:sz w:val="24"/>
        </w:rPr>
        <w:t>economía</w:t>
      </w:r>
      <w:r w:rsidR="00216C98">
        <w:rPr>
          <w:rFonts w:ascii="Times New Roman" w:hAnsi="Times New Roman" w:cs="Times New Roman"/>
          <w:sz w:val="24"/>
        </w:rPr>
        <w:t xml:space="preserve"> de un </w:t>
      </w:r>
      <w:r w:rsidR="00C461C4">
        <w:rPr>
          <w:rFonts w:ascii="Times New Roman" w:hAnsi="Times New Roman" w:cs="Times New Roman"/>
          <w:sz w:val="24"/>
        </w:rPr>
        <w:t>país</w:t>
      </w:r>
      <w:r w:rsidR="00216C98">
        <w:rPr>
          <w:rFonts w:ascii="Times New Roman" w:hAnsi="Times New Roman" w:cs="Times New Roman"/>
          <w:sz w:val="24"/>
        </w:rPr>
        <w:t xml:space="preserve"> </w:t>
      </w:r>
      <w:r>
        <w:rPr>
          <w:rFonts w:ascii="Times New Roman" w:hAnsi="Times New Roman" w:cs="Times New Roman"/>
          <w:sz w:val="24"/>
        </w:rPr>
        <w:t xml:space="preserve">a las exigencias de la globalización </w:t>
      </w:r>
      <w:r w:rsidR="00216C98">
        <w:rPr>
          <w:rFonts w:ascii="Times New Roman" w:hAnsi="Times New Roman" w:cs="Times New Roman"/>
          <w:sz w:val="24"/>
        </w:rPr>
        <w:t xml:space="preserve">de los mercados. De igual forma, toma en cuenta las necesidades de la población, de manera que exista un verdadero desarrollo humano, para </w:t>
      </w:r>
      <w:r w:rsidR="00C461C4">
        <w:rPr>
          <w:rFonts w:ascii="Times New Roman" w:hAnsi="Times New Roman" w:cs="Times New Roman"/>
          <w:sz w:val="24"/>
        </w:rPr>
        <w:t>así</w:t>
      </w:r>
      <w:r w:rsidR="00216C98">
        <w:rPr>
          <w:rFonts w:ascii="Times New Roman" w:hAnsi="Times New Roman" w:cs="Times New Roman"/>
          <w:sz w:val="24"/>
        </w:rPr>
        <w:t xml:space="preserve"> presentar una </w:t>
      </w:r>
      <w:r w:rsidR="00C461C4">
        <w:rPr>
          <w:rFonts w:ascii="Times New Roman" w:hAnsi="Times New Roman" w:cs="Times New Roman"/>
          <w:sz w:val="24"/>
        </w:rPr>
        <w:t>economía</w:t>
      </w:r>
      <w:r w:rsidR="00216C98">
        <w:rPr>
          <w:rFonts w:ascii="Times New Roman" w:hAnsi="Times New Roman" w:cs="Times New Roman"/>
          <w:sz w:val="24"/>
        </w:rPr>
        <w:t xml:space="preserve"> competitiva en el mundo global.</w:t>
      </w:r>
      <w:r w:rsidR="00CD7BF8">
        <w:rPr>
          <w:rFonts w:ascii="Times New Roman" w:hAnsi="Times New Roman" w:cs="Times New Roman"/>
          <w:sz w:val="24"/>
        </w:rPr>
        <w:t xml:space="preserve"> </w:t>
      </w:r>
      <w:r w:rsidR="000E714A" w:rsidRPr="000E714A">
        <w:rPr>
          <w:rFonts w:ascii="Times New Roman" w:hAnsi="Times New Roman" w:cs="Times New Roman"/>
          <w:sz w:val="24"/>
        </w:rPr>
        <w:t xml:space="preserve">La clave </w:t>
      </w:r>
      <w:r w:rsidR="00216C98">
        <w:rPr>
          <w:rFonts w:ascii="Times New Roman" w:hAnsi="Times New Roman" w:cs="Times New Roman"/>
          <w:sz w:val="24"/>
        </w:rPr>
        <w:t xml:space="preserve">del modelo </w:t>
      </w:r>
      <w:r w:rsidR="00B63359">
        <w:rPr>
          <w:rFonts w:ascii="Times New Roman" w:hAnsi="Times New Roman" w:cs="Times New Roman"/>
          <w:sz w:val="24"/>
        </w:rPr>
        <w:t xml:space="preserve">es </w:t>
      </w:r>
      <w:r w:rsidR="00216C98">
        <w:rPr>
          <w:rFonts w:ascii="Times New Roman" w:hAnsi="Times New Roman" w:cs="Times New Roman"/>
          <w:sz w:val="24"/>
        </w:rPr>
        <w:t>considerar a</w:t>
      </w:r>
      <w:r w:rsidR="000E714A" w:rsidRPr="000E714A">
        <w:rPr>
          <w:rFonts w:ascii="Times New Roman" w:hAnsi="Times New Roman" w:cs="Times New Roman"/>
          <w:sz w:val="24"/>
        </w:rPr>
        <w:t>l Estado como un aparato que</w:t>
      </w:r>
      <w:r w:rsidR="00B63359">
        <w:rPr>
          <w:rFonts w:ascii="Times New Roman" w:hAnsi="Times New Roman" w:cs="Times New Roman"/>
          <w:sz w:val="24"/>
        </w:rPr>
        <w:t xml:space="preserve"> </w:t>
      </w:r>
      <w:r w:rsidR="000E714A" w:rsidRPr="000E714A">
        <w:rPr>
          <w:rFonts w:ascii="Times New Roman" w:hAnsi="Times New Roman" w:cs="Times New Roman"/>
          <w:sz w:val="24"/>
        </w:rPr>
        <w:t xml:space="preserve">se </w:t>
      </w:r>
      <w:r w:rsidR="00B63359">
        <w:rPr>
          <w:rFonts w:ascii="Times New Roman" w:hAnsi="Times New Roman" w:cs="Times New Roman"/>
          <w:sz w:val="24"/>
        </w:rPr>
        <w:t xml:space="preserve">nutre de una economía productiva y competitiva, </w:t>
      </w:r>
      <w:r w:rsidR="00216C98">
        <w:rPr>
          <w:rFonts w:ascii="Times New Roman" w:hAnsi="Times New Roman" w:cs="Times New Roman"/>
          <w:sz w:val="24"/>
        </w:rPr>
        <w:t xml:space="preserve">la cual </w:t>
      </w:r>
      <w:r w:rsidR="00B63359">
        <w:rPr>
          <w:rFonts w:ascii="Times New Roman" w:hAnsi="Times New Roman" w:cs="Times New Roman"/>
          <w:sz w:val="24"/>
        </w:rPr>
        <w:t>cubre las necesidades que el sector priva</w:t>
      </w:r>
      <w:r w:rsidR="00216C98">
        <w:rPr>
          <w:rFonts w:ascii="Times New Roman" w:hAnsi="Times New Roman" w:cs="Times New Roman"/>
          <w:sz w:val="24"/>
        </w:rPr>
        <w:t xml:space="preserve">do no garantiza eficientemente. </w:t>
      </w:r>
      <w:r w:rsidR="00C461C4">
        <w:rPr>
          <w:rFonts w:ascii="Times New Roman" w:hAnsi="Times New Roman" w:cs="Times New Roman"/>
          <w:sz w:val="24"/>
        </w:rPr>
        <w:t>Así</w:t>
      </w:r>
      <w:r w:rsidR="00216C98">
        <w:rPr>
          <w:rFonts w:ascii="Times New Roman" w:hAnsi="Times New Roman" w:cs="Times New Roman"/>
          <w:sz w:val="24"/>
        </w:rPr>
        <w:t xml:space="preserve"> mismo, en caso de crisis económicas-sociales, el Estado se encarga de realizar políticas </w:t>
      </w:r>
      <w:r w:rsidR="00C461C4">
        <w:rPr>
          <w:rFonts w:ascii="Times New Roman" w:hAnsi="Times New Roman" w:cs="Times New Roman"/>
          <w:sz w:val="24"/>
        </w:rPr>
        <w:t>públicas</w:t>
      </w:r>
      <w:r w:rsidR="00216C98">
        <w:rPr>
          <w:rFonts w:ascii="Times New Roman" w:hAnsi="Times New Roman" w:cs="Times New Roman"/>
          <w:sz w:val="24"/>
        </w:rPr>
        <w:t xml:space="preserve"> </w:t>
      </w:r>
      <w:r w:rsidR="000242D7">
        <w:rPr>
          <w:rFonts w:ascii="Times New Roman" w:hAnsi="Times New Roman" w:cs="Times New Roman"/>
          <w:sz w:val="24"/>
        </w:rPr>
        <w:t xml:space="preserve">propias </w:t>
      </w:r>
      <w:r w:rsidR="00216C98">
        <w:rPr>
          <w:rFonts w:ascii="Times New Roman" w:hAnsi="Times New Roman" w:cs="Times New Roman"/>
          <w:sz w:val="24"/>
        </w:rPr>
        <w:t>que logre</w:t>
      </w:r>
      <w:r w:rsidR="000242D7">
        <w:rPr>
          <w:rFonts w:ascii="Times New Roman" w:hAnsi="Times New Roman" w:cs="Times New Roman"/>
          <w:sz w:val="24"/>
        </w:rPr>
        <w:t>n</w:t>
      </w:r>
      <w:r w:rsidR="00216C98">
        <w:rPr>
          <w:rFonts w:ascii="Times New Roman" w:hAnsi="Times New Roman" w:cs="Times New Roman"/>
          <w:sz w:val="24"/>
        </w:rPr>
        <w:t xml:space="preserve"> proteger </w:t>
      </w:r>
      <w:r w:rsidR="000242D7">
        <w:rPr>
          <w:rFonts w:ascii="Times New Roman" w:hAnsi="Times New Roman" w:cs="Times New Roman"/>
          <w:sz w:val="24"/>
        </w:rPr>
        <w:t xml:space="preserve">a su población y pone de prioridad el funcionamiento y bienestar del Estado </w:t>
      </w:r>
      <w:r w:rsidR="000242D7">
        <w:rPr>
          <w:rFonts w:ascii="Times New Roman" w:hAnsi="Times New Roman" w:cs="Times New Roman"/>
          <w:sz w:val="24"/>
        </w:rPr>
        <w:lastRenderedPageBreak/>
        <w:t xml:space="preserve">en </w:t>
      </w:r>
      <w:r w:rsidR="00C461C4">
        <w:rPr>
          <w:rFonts w:ascii="Times New Roman" w:hAnsi="Times New Roman" w:cs="Times New Roman"/>
          <w:sz w:val="24"/>
        </w:rPr>
        <w:t>sí</w:t>
      </w:r>
      <w:r w:rsidR="000242D7">
        <w:rPr>
          <w:rFonts w:ascii="Times New Roman" w:hAnsi="Times New Roman" w:cs="Times New Roman"/>
          <w:sz w:val="24"/>
        </w:rPr>
        <w:t>.</w:t>
      </w:r>
      <w:r w:rsidR="00F06B9C">
        <w:rPr>
          <w:rFonts w:ascii="Times New Roman" w:hAnsi="Times New Roman" w:cs="Times New Roman"/>
          <w:sz w:val="24"/>
        </w:rPr>
        <w:t xml:space="preserve"> </w:t>
      </w:r>
      <w:r w:rsidR="000242D7">
        <w:rPr>
          <w:rFonts w:ascii="Times New Roman" w:hAnsi="Times New Roman" w:cs="Times New Roman"/>
          <w:sz w:val="24"/>
        </w:rPr>
        <w:t xml:space="preserve">El modelo que presenta Islandia es un ejemplo para </w:t>
      </w:r>
      <w:r w:rsidR="00C461C4">
        <w:rPr>
          <w:rFonts w:ascii="Times New Roman" w:hAnsi="Times New Roman" w:cs="Times New Roman"/>
          <w:sz w:val="24"/>
        </w:rPr>
        <w:t>Honduras</w:t>
      </w:r>
      <w:r w:rsidR="000242D7">
        <w:rPr>
          <w:rFonts w:ascii="Times New Roman" w:hAnsi="Times New Roman" w:cs="Times New Roman"/>
          <w:sz w:val="24"/>
        </w:rPr>
        <w:t xml:space="preserve">, ya que demuestra que un </w:t>
      </w:r>
      <w:r w:rsidR="00C461C4">
        <w:rPr>
          <w:rFonts w:ascii="Times New Roman" w:hAnsi="Times New Roman" w:cs="Times New Roman"/>
          <w:sz w:val="24"/>
        </w:rPr>
        <w:t>país</w:t>
      </w:r>
      <w:r w:rsidR="000242D7">
        <w:rPr>
          <w:rFonts w:ascii="Times New Roman" w:hAnsi="Times New Roman" w:cs="Times New Roman"/>
          <w:sz w:val="24"/>
        </w:rPr>
        <w:t xml:space="preserve"> puede ser independiente de los organismos financieros y se puede desarrollar un </w:t>
      </w:r>
      <w:r w:rsidR="00C461C4">
        <w:rPr>
          <w:rFonts w:ascii="Times New Roman" w:hAnsi="Times New Roman" w:cs="Times New Roman"/>
          <w:sz w:val="24"/>
        </w:rPr>
        <w:t>país</w:t>
      </w:r>
      <w:r w:rsidR="000242D7">
        <w:rPr>
          <w:rFonts w:ascii="Times New Roman" w:hAnsi="Times New Roman" w:cs="Times New Roman"/>
          <w:sz w:val="24"/>
        </w:rPr>
        <w:t xml:space="preserve"> con crisis económicas-sociales y de mercados pequeños. Este </w:t>
      </w:r>
      <w:r w:rsidR="00C461C4">
        <w:rPr>
          <w:rFonts w:ascii="Times New Roman" w:hAnsi="Times New Roman" w:cs="Times New Roman"/>
          <w:sz w:val="24"/>
        </w:rPr>
        <w:t>modelo</w:t>
      </w:r>
      <w:r w:rsidR="000242D7">
        <w:rPr>
          <w:rFonts w:ascii="Times New Roman" w:hAnsi="Times New Roman" w:cs="Times New Roman"/>
          <w:sz w:val="24"/>
        </w:rPr>
        <w:t xml:space="preserve"> </w:t>
      </w:r>
      <w:r w:rsidR="00B63359">
        <w:rPr>
          <w:rFonts w:ascii="Times New Roman" w:hAnsi="Times New Roman" w:cs="Times New Roman"/>
          <w:sz w:val="24"/>
        </w:rPr>
        <w:t>permitiría el paro del endeudamiento</w:t>
      </w:r>
      <w:r w:rsidR="000242D7">
        <w:rPr>
          <w:rFonts w:ascii="Times New Roman" w:hAnsi="Times New Roman" w:cs="Times New Roman"/>
          <w:sz w:val="24"/>
        </w:rPr>
        <w:t xml:space="preserve"> externo e interno</w:t>
      </w:r>
      <w:r w:rsidR="00FE170C">
        <w:rPr>
          <w:rFonts w:ascii="Times New Roman" w:hAnsi="Times New Roman" w:cs="Times New Roman"/>
          <w:sz w:val="24"/>
        </w:rPr>
        <w:t xml:space="preserve">, </w:t>
      </w:r>
      <w:r w:rsidR="00B63359">
        <w:rPr>
          <w:rFonts w:ascii="Times New Roman" w:hAnsi="Times New Roman" w:cs="Times New Roman"/>
          <w:sz w:val="24"/>
        </w:rPr>
        <w:t>sin tener que sacrificar los fondos dirigidos a los programas de bienestar social.</w:t>
      </w:r>
      <w:r w:rsidR="00FE170C">
        <w:rPr>
          <w:rFonts w:ascii="Times New Roman" w:hAnsi="Times New Roman" w:cs="Times New Roman"/>
          <w:sz w:val="24"/>
        </w:rPr>
        <w:t xml:space="preserve"> De esta manera, Honduras puede posibilitar la movilidad social y un desarrollo humano, y convertirse en una </w:t>
      </w:r>
      <w:r w:rsidR="00C461C4">
        <w:rPr>
          <w:rFonts w:ascii="Times New Roman" w:hAnsi="Times New Roman" w:cs="Times New Roman"/>
          <w:sz w:val="24"/>
        </w:rPr>
        <w:t>economía</w:t>
      </w:r>
      <w:r w:rsidR="00FE170C">
        <w:rPr>
          <w:rFonts w:ascii="Times New Roman" w:hAnsi="Times New Roman" w:cs="Times New Roman"/>
          <w:sz w:val="24"/>
        </w:rPr>
        <w:t xml:space="preserve"> competitiva en el mundo globalizado.</w:t>
      </w:r>
    </w:p>
    <w:p w14:paraId="671896FE" w14:textId="77777777" w:rsidR="0070542C" w:rsidRDefault="0070542C" w:rsidP="00CD7BF8">
      <w:pPr>
        <w:spacing w:line="360" w:lineRule="auto"/>
        <w:jc w:val="both"/>
        <w:rPr>
          <w:rFonts w:ascii="Times New Roman" w:hAnsi="Times New Roman" w:cs="Times New Roman"/>
          <w:sz w:val="24"/>
        </w:rPr>
      </w:pPr>
    </w:p>
    <w:p w14:paraId="35658B2E" w14:textId="77777777" w:rsidR="00FE170C" w:rsidRPr="00FE170C" w:rsidRDefault="00C461C4" w:rsidP="00CD7BF8">
      <w:pPr>
        <w:spacing w:line="360" w:lineRule="auto"/>
        <w:jc w:val="both"/>
        <w:rPr>
          <w:rFonts w:ascii="Times New Roman" w:hAnsi="Times New Roman" w:cs="Times New Roman"/>
          <w:b/>
          <w:sz w:val="24"/>
        </w:rPr>
      </w:pPr>
      <w:r w:rsidRPr="00FE170C">
        <w:rPr>
          <w:rFonts w:ascii="Times New Roman" w:hAnsi="Times New Roman" w:cs="Times New Roman"/>
          <w:b/>
          <w:sz w:val="24"/>
        </w:rPr>
        <w:t>Bibliografía</w:t>
      </w:r>
    </w:p>
    <w:p w14:paraId="139935AF"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Blanco, P. R. (2017, octubre 27). Doce Cifras Para Entender Mejor Islandia. </w:t>
      </w:r>
      <w:r w:rsidRPr="00DB1E63">
        <w:rPr>
          <w:rFonts w:ascii="Times New Roman" w:eastAsia="Times New Roman" w:hAnsi="Times New Roman" w:cs="Times New Roman"/>
          <w:i/>
          <w:iCs/>
          <w:sz w:val="24"/>
          <w:szCs w:val="24"/>
          <w:lang w:eastAsia="es-HN"/>
        </w:rPr>
        <w:t>El País</w:t>
      </w:r>
      <w:r w:rsidRPr="00DB1E63">
        <w:rPr>
          <w:rFonts w:ascii="Times New Roman" w:eastAsia="Times New Roman" w:hAnsi="Times New Roman" w:cs="Times New Roman"/>
          <w:sz w:val="24"/>
          <w:szCs w:val="24"/>
          <w:lang w:eastAsia="es-HN"/>
        </w:rPr>
        <w:t>.</w:t>
      </w:r>
      <w:r w:rsidR="005A1277">
        <w:rPr>
          <w:rFonts w:ascii="Times New Roman" w:eastAsia="Times New Roman" w:hAnsi="Times New Roman" w:cs="Times New Roman"/>
          <w:sz w:val="24"/>
          <w:szCs w:val="24"/>
          <w:lang w:eastAsia="es-HN"/>
        </w:rPr>
        <w:t xml:space="preserve"> </w:t>
      </w:r>
      <w:hyperlink r:id="rId19" w:history="1">
        <w:r w:rsidR="005A1277" w:rsidRPr="001C027C">
          <w:rPr>
            <w:rStyle w:val="Hipervnculo"/>
            <w:rFonts w:ascii="Times New Roman" w:eastAsia="Times New Roman" w:hAnsi="Times New Roman" w:cs="Times New Roman"/>
            <w:sz w:val="24"/>
            <w:szCs w:val="24"/>
            <w:lang w:eastAsia="es-HN"/>
          </w:rPr>
          <w:t>https://elpais.com/politica/2017/10/26/sepa_usted/1509015469_683989.html</w:t>
        </w:r>
      </w:hyperlink>
    </w:p>
    <w:p w14:paraId="77AD4978" w14:textId="77777777" w:rsidR="00DB1E63" w:rsidRPr="00DB1E63" w:rsidRDefault="0030301B" w:rsidP="00CD7BF8">
      <w:pPr>
        <w:spacing w:after="0" w:line="360" w:lineRule="auto"/>
        <w:ind w:left="450" w:hanging="480"/>
        <w:jc w:val="both"/>
        <w:rPr>
          <w:rFonts w:ascii="Times New Roman" w:eastAsia="Times New Roman" w:hAnsi="Times New Roman" w:cs="Times New Roman"/>
          <w:sz w:val="24"/>
          <w:szCs w:val="24"/>
          <w:lang w:eastAsia="es-HN"/>
        </w:rPr>
      </w:pPr>
      <w:r>
        <w:rPr>
          <w:rFonts w:ascii="Times New Roman" w:eastAsia="Times New Roman" w:hAnsi="Times New Roman" w:cs="Times New Roman"/>
          <w:sz w:val="24"/>
          <w:szCs w:val="24"/>
          <w:lang w:val="en-US" w:eastAsia="es-HN"/>
        </w:rPr>
        <w:t xml:space="preserve">Iceland </w:t>
      </w:r>
      <w:r w:rsidR="00C461C4">
        <w:rPr>
          <w:rFonts w:ascii="Times New Roman" w:eastAsia="Times New Roman" w:hAnsi="Times New Roman" w:cs="Times New Roman"/>
          <w:sz w:val="24"/>
          <w:szCs w:val="24"/>
          <w:lang w:val="en-US" w:eastAsia="es-HN"/>
        </w:rPr>
        <w:t>the</w:t>
      </w:r>
      <w:r>
        <w:rPr>
          <w:rFonts w:ascii="Times New Roman" w:eastAsia="Times New Roman" w:hAnsi="Times New Roman" w:cs="Times New Roman"/>
          <w:sz w:val="24"/>
          <w:szCs w:val="24"/>
          <w:lang w:val="en-US" w:eastAsia="es-HN"/>
        </w:rPr>
        <w:t xml:space="preserve"> World </w:t>
      </w:r>
      <w:proofErr w:type="spellStart"/>
      <w:r>
        <w:rPr>
          <w:rFonts w:ascii="Times New Roman" w:eastAsia="Times New Roman" w:hAnsi="Times New Roman" w:cs="Times New Roman"/>
          <w:sz w:val="24"/>
          <w:szCs w:val="24"/>
          <w:lang w:val="en-US" w:eastAsia="es-HN"/>
        </w:rPr>
        <w:t>Factbook</w:t>
      </w:r>
      <w:proofErr w:type="spellEnd"/>
      <w:r>
        <w:rPr>
          <w:rFonts w:ascii="Times New Roman" w:eastAsia="Times New Roman" w:hAnsi="Times New Roman" w:cs="Times New Roman"/>
          <w:sz w:val="24"/>
          <w:szCs w:val="24"/>
          <w:lang w:val="en-US" w:eastAsia="es-HN"/>
        </w:rPr>
        <w:t xml:space="preserve"> </w:t>
      </w:r>
      <w:r w:rsidR="00DB1E63" w:rsidRPr="00DB1E63">
        <w:rPr>
          <w:rFonts w:ascii="Times New Roman" w:eastAsia="Times New Roman" w:hAnsi="Times New Roman" w:cs="Times New Roman"/>
          <w:sz w:val="24"/>
          <w:szCs w:val="24"/>
          <w:lang w:val="en-US" w:eastAsia="es-HN"/>
        </w:rPr>
        <w:t xml:space="preserve">Central Intelligence Agency. </w:t>
      </w:r>
      <w:r w:rsidR="00DB1E63" w:rsidRPr="00DB1E63">
        <w:rPr>
          <w:rFonts w:ascii="Times New Roman" w:eastAsia="Times New Roman" w:hAnsi="Times New Roman" w:cs="Times New Roman"/>
          <w:sz w:val="24"/>
          <w:szCs w:val="24"/>
          <w:lang w:eastAsia="es-HN"/>
        </w:rPr>
        <w:t xml:space="preserve">(2018). Recuperado el 8 de marzo de 2019, de </w:t>
      </w:r>
      <w:r w:rsidR="007811FB">
        <w:fldChar w:fldCharType="begin"/>
      </w:r>
      <w:r w:rsidR="007811FB">
        <w:instrText xml:space="preserve"> HYPERLINK "https://www.cia.gov/library/publications/the-world-factbook/geos/ic.</w:instrText>
      </w:r>
      <w:r w:rsidR="007811FB">
        <w:instrText xml:space="preserve">html" </w:instrText>
      </w:r>
      <w:r w:rsidR="007811FB">
        <w:fldChar w:fldCharType="separate"/>
      </w:r>
      <w:r w:rsidR="00DB1E63" w:rsidRPr="00DB1E63">
        <w:rPr>
          <w:rFonts w:ascii="Times New Roman" w:eastAsia="Times New Roman" w:hAnsi="Times New Roman" w:cs="Times New Roman"/>
          <w:color w:val="0000FF"/>
          <w:sz w:val="24"/>
          <w:szCs w:val="24"/>
          <w:u w:val="single"/>
          <w:lang w:eastAsia="es-HN"/>
        </w:rPr>
        <w:t>https://www.cia.gov/library/publications/the-world-factbook/geos/ic.html</w:t>
      </w:r>
      <w:r w:rsidR="007811FB">
        <w:rPr>
          <w:rFonts w:ascii="Times New Roman" w:eastAsia="Times New Roman" w:hAnsi="Times New Roman" w:cs="Times New Roman"/>
          <w:color w:val="0000FF"/>
          <w:sz w:val="24"/>
          <w:szCs w:val="24"/>
          <w:u w:val="single"/>
          <w:lang w:eastAsia="es-HN"/>
        </w:rPr>
        <w:fldChar w:fldCharType="end"/>
      </w:r>
    </w:p>
    <w:p w14:paraId="4DE88B10" w14:textId="77777777" w:rsidR="00DB1E63" w:rsidRPr="00DB1E63" w:rsidRDefault="00C461C4"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García</w:t>
      </w:r>
      <w:r w:rsidR="00DB1E63" w:rsidRPr="00DB1E63">
        <w:rPr>
          <w:rFonts w:ascii="Times New Roman" w:eastAsia="Times New Roman" w:hAnsi="Times New Roman" w:cs="Times New Roman"/>
          <w:sz w:val="24"/>
          <w:szCs w:val="24"/>
          <w:lang w:eastAsia="es-HN"/>
        </w:rPr>
        <w:t xml:space="preserve">, Hidalgo, A. (2013, agosto 2). ¿Cómo Se Originó La Crisis Económica de Islandia? Recuperado el 11 de febrero de 2019, de </w:t>
      </w:r>
      <w:r w:rsidR="007811FB">
        <w:fldChar w:fldCharType="begin"/>
      </w:r>
      <w:r w:rsidR="007811FB">
        <w:instrText xml:space="preserve"> HYPERLINK "http://queaprendemoshoy.com/como-se-origino-la-crisis-economica-de-islandia-evolucion/" </w:instrText>
      </w:r>
      <w:r w:rsidR="007811FB">
        <w:fldChar w:fldCharType="separate"/>
      </w:r>
      <w:r w:rsidR="00DB1E63" w:rsidRPr="00DB1E63">
        <w:rPr>
          <w:rFonts w:ascii="Times New Roman" w:eastAsia="Times New Roman" w:hAnsi="Times New Roman" w:cs="Times New Roman"/>
          <w:color w:val="0000FF"/>
          <w:sz w:val="24"/>
          <w:szCs w:val="24"/>
          <w:u w:val="single"/>
          <w:lang w:eastAsia="es-HN"/>
        </w:rPr>
        <w:t>http://queaprendemoshoy.com/como-se-origino-la-crisis-economica-de-islandia-evolucion/</w:t>
      </w:r>
      <w:r w:rsidR="007811FB">
        <w:rPr>
          <w:rFonts w:ascii="Times New Roman" w:eastAsia="Times New Roman" w:hAnsi="Times New Roman" w:cs="Times New Roman"/>
          <w:color w:val="0000FF"/>
          <w:sz w:val="24"/>
          <w:szCs w:val="24"/>
          <w:u w:val="single"/>
          <w:lang w:eastAsia="es-HN"/>
        </w:rPr>
        <w:fldChar w:fldCharType="end"/>
      </w:r>
    </w:p>
    <w:p w14:paraId="6D2BB210"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Honduras En Cifras. (2017). Banco Central de Honduras. Recuperado de </w:t>
      </w:r>
      <w:hyperlink r:id="rId20" w:history="1">
        <w:r w:rsidRPr="00DB1E63">
          <w:rPr>
            <w:rFonts w:ascii="Times New Roman" w:eastAsia="Times New Roman" w:hAnsi="Times New Roman" w:cs="Times New Roman"/>
            <w:color w:val="0000FF"/>
            <w:sz w:val="24"/>
            <w:szCs w:val="24"/>
            <w:u w:val="single"/>
            <w:lang w:eastAsia="es-HN"/>
          </w:rPr>
          <w:t>http://www.bch.hn/download/honduras_en_cifras/hencifras2014_2016.pdf</w:t>
        </w:r>
      </w:hyperlink>
    </w:p>
    <w:p w14:paraId="405AF411"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Honduras Indicadores </w:t>
      </w:r>
      <w:r w:rsidR="00C461C4" w:rsidRPr="00DB1E63">
        <w:rPr>
          <w:rFonts w:ascii="Times New Roman" w:eastAsia="Times New Roman" w:hAnsi="Times New Roman" w:cs="Times New Roman"/>
          <w:sz w:val="24"/>
          <w:szCs w:val="24"/>
          <w:lang w:eastAsia="es-HN"/>
        </w:rPr>
        <w:t>Económicos</w:t>
      </w:r>
      <w:r w:rsidRPr="00DB1E63">
        <w:rPr>
          <w:rFonts w:ascii="Times New Roman" w:eastAsia="Times New Roman" w:hAnsi="Times New Roman" w:cs="Times New Roman"/>
          <w:sz w:val="24"/>
          <w:szCs w:val="24"/>
          <w:lang w:eastAsia="es-HN"/>
        </w:rPr>
        <w:t xml:space="preserve">. (2019). Recuperado el 8 de marzo de 2019, de </w:t>
      </w:r>
      <w:r w:rsidR="007811FB">
        <w:fldChar w:fldCharType="begin"/>
      </w:r>
      <w:r w:rsidR="007811FB">
        <w:instrText xml:space="preserve"> HYPERLINK "https://e</w:instrText>
      </w:r>
      <w:r w:rsidR="007811FB">
        <w:instrText xml:space="preserve">s.tradingeconomics.com/honduras/indicators" </w:instrText>
      </w:r>
      <w:r w:rsidR="007811FB">
        <w:fldChar w:fldCharType="separate"/>
      </w:r>
      <w:r w:rsidRPr="00DB1E63">
        <w:rPr>
          <w:rFonts w:ascii="Times New Roman" w:eastAsia="Times New Roman" w:hAnsi="Times New Roman" w:cs="Times New Roman"/>
          <w:color w:val="0000FF"/>
          <w:sz w:val="24"/>
          <w:szCs w:val="24"/>
          <w:u w:val="single"/>
          <w:lang w:eastAsia="es-HN"/>
        </w:rPr>
        <w:t>https://es.tradingeconomics.com/honduras/indicators</w:t>
      </w:r>
      <w:r w:rsidR="007811FB">
        <w:rPr>
          <w:rFonts w:ascii="Times New Roman" w:eastAsia="Times New Roman" w:hAnsi="Times New Roman" w:cs="Times New Roman"/>
          <w:color w:val="0000FF"/>
          <w:sz w:val="24"/>
          <w:szCs w:val="24"/>
          <w:u w:val="single"/>
          <w:lang w:eastAsia="es-HN"/>
        </w:rPr>
        <w:fldChar w:fldCharType="end"/>
      </w:r>
    </w:p>
    <w:p w14:paraId="7C520B83"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val="en-US" w:eastAsia="es-HN"/>
        </w:rPr>
        <w:t xml:space="preserve">Honduras </w:t>
      </w:r>
      <w:r w:rsidR="00C461C4" w:rsidRPr="00DB1E63">
        <w:rPr>
          <w:rFonts w:ascii="Times New Roman" w:eastAsia="Times New Roman" w:hAnsi="Times New Roman" w:cs="Times New Roman"/>
          <w:sz w:val="24"/>
          <w:szCs w:val="24"/>
          <w:lang w:val="en-US" w:eastAsia="es-HN"/>
        </w:rPr>
        <w:t>the</w:t>
      </w:r>
      <w:r w:rsidRPr="00DB1E63">
        <w:rPr>
          <w:rFonts w:ascii="Times New Roman" w:eastAsia="Times New Roman" w:hAnsi="Times New Roman" w:cs="Times New Roman"/>
          <w:sz w:val="24"/>
          <w:szCs w:val="24"/>
          <w:lang w:val="en-US" w:eastAsia="es-HN"/>
        </w:rPr>
        <w:t xml:space="preserve"> World </w:t>
      </w:r>
      <w:proofErr w:type="spellStart"/>
      <w:r w:rsidRPr="00DB1E63">
        <w:rPr>
          <w:rFonts w:ascii="Times New Roman" w:eastAsia="Times New Roman" w:hAnsi="Times New Roman" w:cs="Times New Roman"/>
          <w:sz w:val="24"/>
          <w:szCs w:val="24"/>
          <w:lang w:val="en-US" w:eastAsia="es-HN"/>
        </w:rPr>
        <w:t>Factbook</w:t>
      </w:r>
      <w:proofErr w:type="spellEnd"/>
      <w:r w:rsidR="0030301B" w:rsidRPr="0030301B">
        <w:rPr>
          <w:rFonts w:ascii="Times New Roman" w:eastAsia="Times New Roman" w:hAnsi="Times New Roman" w:cs="Times New Roman"/>
          <w:sz w:val="24"/>
          <w:szCs w:val="24"/>
          <w:lang w:val="en-US" w:eastAsia="es-HN"/>
        </w:rPr>
        <w:t xml:space="preserve"> Central Intelligence Agency</w:t>
      </w:r>
      <w:r w:rsidRPr="00DB1E63">
        <w:rPr>
          <w:rFonts w:ascii="Times New Roman" w:eastAsia="Times New Roman" w:hAnsi="Times New Roman" w:cs="Times New Roman"/>
          <w:sz w:val="24"/>
          <w:szCs w:val="24"/>
          <w:lang w:val="en-US" w:eastAsia="es-HN"/>
        </w:rPr>
        <w:t xml:space="preserve">. </w:t>
      </w:r>
      <w:r w:rsidRPr="00DB1E63">
        <w:rPr>
          <w:rFonts w:ascii="Times New Roman" w:eastAsia="Times New Roman" w:hAnsi="Times New Roman" w:cs="Times New Roman"/>
          <w:sz w:val="24"/>
          <w:szCs w:val="24"/>
          <w:lang w:eastAsia="es-HN"/>
        </w:rPr>
        <w:t xml:space="preserve">(2018). Recuperado el 8 de marzo de 2019, de </w:t>
      </w:r>
      <w:hyperlink r:id="rId21" w:history="1">
        <w:r w:rsidRPr="00DB1E63">
          <w:rPr>
            <w:rFonts w:ascii="Times New Roman" w:eastAsia="Times New Roman" w:hAnsi="Times New Roman" w:cs="Times New Roman"/>
            <w:color w:val="0000FF"/>
            <w:sz w:val="24"/>
            <w:szCs w:val="24"/>
            <w:u w:val="single"/>
            <w:lang w:eastAsia="es-HN"/>
          </w:rPr>
          <w:t>https://www.cia.gov/library/publications/the-world-factbook/geos/ho.html</w:t>
        </w:r>
      </w:hyperlink>
    </w:p>
    <w:p w14:paraId="72908A89"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Islandia Economía y Demografía. (2019). Recuperado el 8 de marzo de 2019, de </w:t>
      </w:r>
      <w:hyperlink r:id="rId22" w:history="1">
        <w:r w:rsidRPr="00DB1E63">
          <w:rPr>
            <w:rFonts w:ascii="Times New Roman" w:eastAsia="Times New Roman" w:hAnsi="Times New Roman" w:cs="Times New Roman"/>
            <w:color w:val="0000FF"/>
            <w:sz w:val="24"/>
            <w:szCs w:val="24"/>
            <w:u w:val="single"/>
            <w:lang w:eastAsia="es-HN"/>
          </w:rPr>
          <w:t>https://datosmacro.expansion.com/paises/islandia</w:t>
        </w:r>
      </w:hyperlink>
    </w:p>
    <w:p w14:paraId="2E1FA3FB"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Islandia Indicadores </w:t>
      </w:r>
      <w:r w:rsidR="00C461C4" w:rsidRPr="00DB1E63">
        <w:rPr>
          <w:rFonts w:ascii="Times New Roman" w:eastAsia="Times New Roman" w:hAnsi="Times New Roman" w:cs="Times New Roman"/>
          <w:sz w:val="24"/>
          <w:szCs w:val="24"/>
          <w:lang w:eastAsia="es-HN"/>
        </w:rPr>
        <w:t>Económicos</w:t>
      </w:r>
      <w:r w:rsidRPr="00DB1E63">
        <w:rPr>
          <w:rFonts w:ascii="Times New Roman" w:eastAsia="Times New Roman" w:hAnsi="Times New Roman" w:cs="Times New Roman"/>
          <w:sz w:val="24"/>
          <w:szCs w:val="24"/>
          <w:lang w:eastAsia="es-HN"/>
        </w:rPr>
        <w:t xml:space="preserve">. (2019). Recuperado el 8 de marzo de 2019, de </w:t>
      </w:r>
      <w:hyperlink r:id="rId23" w:history="1">
        <w:r w:rsidRPr="00DB1E63">
          <w:rPr>
            <w:rFonts w:ascii="Times New Roman" w:eastAsia="Times New Roman" w:hAnsi="Times New Roman" w:cs="Times New Roman"/>
            <w:color w:val="0000FF"/>
            <w:sz w:val="24"/>
            <w:szCs w:val="24"/>
            <w:u w:val="single"/>
            <w:lang w:eastAsia="es-HN"/>
          </w:rPr>
          <w:t>https://es.tradingeconomics.com/iceland/indicators</w:t>
        </w:r>
      </w:hyperlink>
    </w:p>
    <w:p w14:paraId="0EE2918E"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Islandia: La Exitosa Fórmula del País Que No Rescató A Sus Bancos Pero Salvó Su Economía. (2017, marzo 16). Recuperado el 11 de febrero de 2019, de </w:t>
      </w:r>
      <w:hyperlink r:id="rId24" w:history="1">
        <w:r w:rsidRPr="00DB1E63">
          <w:rPr>
            <w:rFonts w:ascii="Times New Roman" w:eastAsia="Times New Roman" w:hAnsi="Times New Roman" w:cs="Times New Roman"/>
            <w:color w:val="0000FF"/>
            <w:sz w:val="24"/>
            <w:szCs w:val="24"/>
            <w:u w:val="single"/>
            <w:lang w:eastAsia="es-HN"/>
          </w:rPr>
          <w:t>https://www.bbc.com/mundo/noticias-39271510</w:t>
        </w:r>
      </w:hyperlink>
    </w:p>
    <w:p w14:paraId="24F69EFF"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lastRenderedPageBreak/>
        <w:t>Pampill</w:t>
      </w:r>
      <w:r w:rsidR="000C0C0D">
        <w:rPr>
          <w:rFonts w:ascii="Times New Roman" w:eastAsia="Times New Roman" w:hAnsi="Times New Roman" w:cs="Times New Roman"/>
          <w:sz w:val="24"/>
          <w:szCs w:val="24"/>
          <w:lang w:eastAsia="es-HN"/>
        </w:rPr>
        <w:t>ó</w:t>
      </w:r>
      <w:r w:rsidRPr="00DB1E63">
        <w:rPr>
          <w:rFonts w:ascii="Times New Roman" w:eastAsia="Times New Roman" w:hAnsi="Times New Roman" w:cs="Times New Roman"/>
          <w:sz w:val="24"/>
          <w:szCs w:val="24"/>
          <w:lang w:eastAsia="es-HN"/>
        </w:rPr>
        <w:t xml:space="preserve">n Olmedo, R. (2008). El Modelo </w:t>
      </w:r>
      <w:r w:rsidR="00C461C4" w:rsidRPr="00DB1E63">
        <w:rPr>
          <w:rFonts w:ascii="Times New Roman" w:eastAsia="Times New Roman" w:hAnsi="Times New Roman" w:cs="Times New Roman"/>
          <w:sz w:val="24"/>
          <w:szCs w:val="24"/>
          <w:lang w:eastAsia="es-HN"/>
        </w:rPr>
        <w:t>Nórdico</w:t>
      </w:r>
      <w:r w:rsidRPr="00DB1E63">
        <w:rPr>
          <w:rFonts w:ascii="Times New Roman" w:eastAsia="Times New Roman" w:hAnsi="Times New Roman" w:cs="Times New Roman"/>
          <w:sz w:val="24"/>
          <w:szCs w:val="24"/>
          <w:lang w:eastAsia="es-HN"/>
        </w:rPr>
        <w:t xml:space="preserve">. Revista de </w:t>
      </w:r>
      <w:r w:rsidR="00C461C4" w:rsidRPr="00DB1E63">
        <w:rPr>
          <w:rFonts w:ascii="Times New Roman" w:eastAsia="Times New Roman" w:hAnsi="Times New Roman" w:cs="Times New Roman"/>
          <w:sz w:val="24"/>
          <w:szCs w:val="24"/>
          <w:lang w:eastAsia="es-HN"/>
        </w:rPr>
        <w:t>Economía</w:t>
      </w:r>
      <w:r w:rsidRPr="00DB1E63">
        <w:rPr>
          <w:rFonts w:ascii="Times New Roman" w:eastAsia="Times New Roman" w:hAnsi="Times New Roman" w:cs="Times New Roman"/>
          <w:sz w:val="24"/>
          <w:szCs w:val="24"/>
          <w:lang w:eastAsia="es-HN"/>
        </w:rPr>
        <w:t xml:space="preserve"> Mundial. Recuperado de </w:t>
      </w:r>
      <w:hyperlink r:id="rId25" w:history="1">
        <w:r w:rsidRPr="00DB1E63">
          <w:rPr>
            <w:rFonts w:ascii="Times New Roman" w:eastAsia="Times New Roman" w:hAnsi="Times New Roman" w:cs="Times New Roman"/>
            <w:color w:val="0000FF"/>
            <w:sz w:val="24"/>
            <w:szCs w:val="24"/>
            <w:u w:val="single"/>
            <w:lang w:eastAsia="es-HN"/>
          </w:rPr>
          <w:t>https://www.redalyc.org/pdf/866/86601813.pdf</w:t>
        </w:r>
      </w:hyperlink>
    </w:p>
    <w:p w14:paraId="243E6F23" w14:textId="77777777" w:rsidR="00DB1E63" w:rsidRPr="00DB1E63" w:rsidRDefault="00DB1E63" w:rsidP="00CD7BF8">
      <w:pPr>
        <w:spacing w:after="0" w:line="360" w:lineRule="auto"/>
        <w:ind w:left="450" w:hanging="480"/>
        <w:jc w:val="both"/>
        <w:rPr>
          <w:rFonts w:ascii="Times New Roman" w:eastAsia="Times New Roman" w:hAnsi="Times New Roman" w:cs="Times New Roman"/>
          <w:sz w:val="24"/>
          <w:szCs w:val="24"/>
          <w:lang w:eastAsia="es-HN"/>
        </w:rPr>
      </w:pPr>
      <w:r w:rsidRPr="00DB1E63">
        <w:rPr>
          <w:rFonts w:ascii="Times New Roman" w:eastAsia="Times New Roman" w:hAnsi="Times New Roman" w:cs="Times New Roman"/>
          <w:sz w:val="24"/>
          <w:szCs w:val="24"/>
          <w:lang w:eastAsia="es-HN"/>
        </w:rPr>
        <w:t xml:space="preserve">¿Por Qué Los Países Escandinavos e Islandia Encabezan Todos Los Rankings Mundiales? (2014, febrero 1). Recuperado el 8 de marzo de 2019, de </w:t>
      </w:r>
      <w:hyperlink r:id="rId26" w:history="1">
        <w:r w:rsidRPr="00DB1E63">
          <w:rPr>
            <w:rFonts w:ascii="Times New Roman" w:eastAsia="Times New Roman" w:hAnsi="Times New Roman" w:cs="Times New Roman"/>
            <w:color w:val="0000FF"/>
            <w:sz w:val="24"/>
            <w:szCs w:val="24"/>
            <w:u w:val="single"/>
            <w:lang w:eastAsia="es-HN"/>
          </w:rPr>
          <w:t>https://www.infobae.com/2014/02/01/1540842-por-que-los-paises-escandinavos-e-islandia-encabezan-todos-los-rankings-mundiales/</w:t>
        </w:r>
      </w:hyperlink>
    </w:p>
    <w:p w14:paraId="0A3A44AB" w14:textId="77777777" w:rsidR="00FE170C" w:rsidRPr="00DB1E63" w:rsidRDefault="00FE170C" w:rsidP="00CD7BF8">
      <w:pPr>
        <w:spacing w:after="0" w:line="360" w:lineRule="auto"/>
        <w:ind w:left="450" w:hanging="480"/>
        <w:jc w:val="both"/>
        <w:rPr>
          <w:rFonts w:ascii="Times New Roman" w:eastAsia="Times New Roman" w:hAnsi="Times New Roman" w:cs="Times New Roman"/>
          <w:sz w:val="24"/>
          <w:szCs w:val="24"/>
          <w:lang w:eastAsia="es-HN"/>
        </w:rPr>
      </w:pPr>
    </w:p>
    <w:sectPr w:rsidR="00FE170C" w:rsidRPr="00DB1E6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2919" w14:textId="77777777" w:rsidR="007811FB" w:rsidRDefault="007811FB" w:rsidP="002D37B9">
      <w:pPr>
        <w:spacing w:after="0" w:line="240" w:lineRule="auto"/>
      </w:pPr>
      <w:r>
        <w:separator/>
      </w:r>
    </w:p>
  </w:endnote>
  <w:endnote w:type="continuationSeparator" w:id="0">
    <w:p w14:paraId="40B15C3B" w14:textId="77777777" w:rsidR="007811FB" w:rsidRDefault="007811FB" w:rsidP="002D3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B7AF0" w14:textId="77777777" w:rsidR="007811FB" w:rsidRDefault="007811FB" w:rsidP="002D37B9">
      <w:pPr>
        <w:spacing w:after="0" w:line="240" w:lineRule="auto"/>
      </w:pPr>
      <w:r>
        <w:separator/>
      </w:r>
    </w:p>
  </w:footnote>
  <w:footnote w:type="continuationSeparator" w:id="0">
    <w:p w14:paraId="36CAF898" w14:textId="77777777" w:rsidR="007811FB" w:rsidRDefault="007811FB" w:rsidP="002D37B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45984"/>
    <w:multiLevelType w:val="hybridMultilevel"/>
    <w:tmpl w:val="CDB6402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5F297BAB"/>
    <w:multiLevelType w:val="hybridMultilevel"/>
    <w:tmpl w:val="9872F7C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44"/>
    <w:rsid w:val="0001731F"/>
    <w:rsid w:val="000242D7"/>
    <w:rsid w:val="00042502"/>
    <w:rsid w:val="00077B01"/>
    <w:rsid w:val="00096AEA"/>
    <w:rsid w:val="000A213F"/>
    <w:rsid w:val="000C0C0D"/>
    <w:rsid w:val="000E714A"/>
    <w:rsid w:val="000F176B"/>
    <w:rsid w:val="000F3C78"/>
    <w:rsid w:val="00112AEF"/>
    <w:rsid w:val="00115076"/>
    <w:rsid w:val="001258BE"/>
    <w:rsid w:val="00126F10"/>
    <w:rsid w:val="00145E9F"/>
    <w:rsid w:val="00150632"/>
    <w:rsid w:val="001758D3"/>
    <w:rsid w:val="00181BCD"/>
    <w:rsid w:val="001A02D4"/>
    <w:rsid w:val="001A2527"/>
    <w:rsid w:val="001A4287"/>
    <w:rsid w:val="001B72B0"/>
    <w:rsid w:val="001B7555"/>
    <w:rsid w:val="001D200F"/>
    <w:rsid w:val="001D23F3"/>
    <w:rsid w:val="001D2DFC"/>
    <w:rsid w:val="001F5F43"/>
    <w:rsid w:val="00202B26"/>
    <w:rsid w:val="00214270"/>
    <w:rsid w:val="00216C98"/>
    <w:rsid w:val="00251BC5"/>
    <w:rsid w:val="00295CB4"/>
    <w:rsid w:val="002D37B9"/>
    <w:rsid w:val="002E50EA"/>
    <w:rsid w:val="002F2D98"/>
    <w:rsid w:val="0030301B"/>
    <w:rsid w:val="003230E8"/>
    <w:rsid w:val="0032532A"/>
    <w:rsid w:val="003430D2"/>
    <w:rsid w:val="00344412"/>
    <w:rsid w:val="003B4384"/>
    <w:rsid w:val="003B48FB"/>
    <w:rsid w:val="003B527E"/>
    <w:rsid w:val="003F4FCA"/>
    <w:rsid w:val="00401CF8"/>
    <w:rsid w:val="00496C74"/>
    <w:rsid w:val="00497D0A"/>
    <w:rsid w:val="00501228"/>
    <w:rsid w:val="005174F9"/>
    <w:rsid w:val="00521293"/>
    <w:rsid w:val="00531FB7"/>
    <w:rsid w:val="00532DF9"/>
    <w:rsid w:val="005548CB"/>
    <w:rsid w:val="005659E9"/>
    <w:rsid w:val="0057397C"/>
    <w:rsid w:val="00573A59"/>
    <w:rsid w:val="0058432B"/>
    <w:rsid w:val="005A1277"/>
    <w:rsid w:val="005B7487"/>
    <w:rsid w:val="005F6B8A"/>
    <w:rsid w:val="00605169"/>
    <w:rsid w:val="00625585"/>
    <w:rsid w:val="00677C5D"/>
    <w:rsid w:val="00684D59"/>
    <w:rsid w:val="006C1899"/>
    <w:rsid w:val="0070542C"/>
    <w:rsid w:val="007162F2"/>
    <w:rsid w:val="00725F49"/>
    <w:rsid w:val="00741A7E"/>
    <w:rsid w:val="00752D93"/>
    <w:rsid w:val="00754ED5"/>
    <w:rsid w:val="007811FB"/>
    <w:rsid w:val="007874DC"/>
    <w:rsid w:val="0079616F"/>
    <w:rsid w:val="007A09EA"/>
    <w:rsid w:val="007A3D0E"/>
    <w:rsid w:val="007B48DE"/>
    <w:rsid w:val="007E077D"/>
    <w:rsid w:val="007E22EC"/>
    <w:rsid w:val="00807588"/>
    <w:rsid w:val="00811079"/>
    <w:rsid w:val="00832D1F"/>
    <w:rsid w:val="0083602B"/>
    <w:rsid w:val="00837A5E"/>
    <w:rsid w:val="00854837"/>
    <w:rsid w:val="00874C16"/>
    <w:rsid w:val="00887995"/>
    <w:rsid w:val="008A2AF4"/>
    <w:rsid w:val="008F5F32"/>
    <w:rsid w:val="0090129E"/>
    <w:rsid w:val="00910C30"/>
    <w:rsid w:val="00911D0C"/>
    <w:rsid w:val="00915BCE"/>
    <w:rsid w:val="00921323"/>
    <w:rsid w:val="00950507"/>
    <w:rsid w:val="0095722A"/>
    <w:rsid w:val="00957F43"/>
    <w:rsid w:val="00967190"/>
    <w:rsid w:val="00975B72"/>
    <w:rsid w:val="00985B8F"/>
    <w:rsid w:val="009A5309"/>
    <w:rsid w:val="009A6719"/>
    <w:rsid w:val="009C394A"/>
    <w:rsid w:val="009E4A0C"/>
    <w:rsid w:val="009F7877"/>
    <w:rsid w:val="00A077AC"/>
    <w:rsid w:val="00A23AD0"/>
    <w:rsid w:val="00A27893"/>
    <w:rsid w:val="00A71C4E"/>
    <w:rsid w:val="00A754EF"/>
    <w:rsid w:val="00A93149"/>
    <w:rsid w:val="00AA586B"/>
    <w:rsid w:val="00AB3434"/>
    <w:rsid w:val="00AB69C6"/>
    <w:rsid w:val="00AC5543"/>
    <w:rsid w:val="00AD6DAD"/>
    <w:rsid w:val="00AE52C2"/>
    <w:rsid w:val="00B241FD"/>
    <w:rsid w:val="00B273A6"/>
    <w:rsid w:val="00B63359"/>
    <w:rsid w:val="00BA70BD"/>
    <w:rsid w:val="00BB183C"/>
    <w:rsid w:val="00BB3322"/>
    <w:rsid w:val="00BB7935"/>
    <w:rsid w:val="00BE23F3"/>
    <w:rsid w:val="00BE4B1E"/>
    <w:rsid w:val="00C01304"/>
    <w:rsid w:val="00C263E1"/>
    <w:rsid w:val="00C3252C"/>
    <w:rsid w:val="00C461C4"/>
    <w:rsid w:val="00C54150"/>
    <w:rsid w:val="00C71245"/>
    <w:rsid w:val="00C96F54"/>
    <w:rsid w:val="00CB5D36"/>
    <w:rsid w:val="00CD7BF8"/>
    <w:rsid w:val="00D115CF"/>
    <w:rsid w:val="00D20C59"/>
    <w:rsid w:val="00D20F3D"/>
    <w:rsid w:val="00D37989"/>
    <w:rsid w:val="00D471C2"/>
    <w:rsid w:val="00D508B6"/>
    <w:rsid w:val="00D80046"/>
    <w:rsid w:val="00DB1E63"/>
    <w:rsid w:val="00DE06DF"/>
    <w:rsid w:val="00E2022C"/>
    <w:rsid w:val="00E24644"/>
    <w:rsid w:val="00E50ACC"/>
    <w:rsid w:val="00E51B53"/>
    <w:rsid w:val="00ED53AC"/>
    <w:rsid w:val="00EE59BD"/>
    <w:rsid w:val="00F0274D"/>
    <w:rsid w:val="00F05B67"/>
    <w:rsid w:val="00F06B9C"/>
    <w:rsid w:val="00F24A36"/>
    <w:rsid w:val="00F42F27"/>
    <w:rsid w:val="00F44589"/>
    <w:rsid w:val="00F53A2F"/>
    <w:rsid w:val="00F572BE"/>
    <w:rsid w:val="00F61195"/>
    <w:rsid w:val="00F64DD8"/>
    <w:rsid w:val="00F72135"/>
    <w:rsid w:val="00F755F3"/>
    <w:rsid w:val="00FA3D7F"/>
    <w:rsid w:val="00FC74D8"/>
    <w:rsid w:val="00FE170C"/>
    <w:rsid w:val="00FE5B59"/>
    <w:rsid w:val="00FF15A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B1C1"/>
  <w15:chartTrackingRefBased/>
  <w15:docId w15:val="{02B74022-6FD1-4917-B55A-0F28EF47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7F43"/>
    <w:pPr>
      <w:spacing w:before="100" w:beforeAutospacing="1" w:after="100" w:afterAutospacing="1" w:line="240" w:lineRule="auto"/>
    </w:pPr>
    <w:rPr>
      <w:rFonts w:ascii="Times New Roman" w:eastAsiaTheme="minorEastAsia" w:hAnsi="Times New Roman" w:cs="Times New Roman"/>
      <w:sz w:val="24"/>
      <w:szCs w:val="24"/>
      <w:lang w:eastAsia="es-HN"/>
    </w:rPr>
  </w:style>
  <w:style w:type="paragraph" w:styleId="Encabezado">
    <w:name w:val="header"/>
    <w:basedOn w:val="Normal"/>
    <w:link w:val="EncabezadoCar"/>
    <w:uiPriority w:val="99"/>
    <w:unhideWhenUsed/>
    <w:rsid w:val="002D37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7B9"/>
  </w:style>
  <w:style w:type="paragraph" w:styleId="Piedepgina">
    <w:name w:val="footer"/>
    <w:basedOn w:val="Normal"/>
    <w:link w:val="PiedepginaCar"/>
    <w:uiPriority w:val="99"/>
    <w:unhideWhenUsed/>
    <w:rsid w:val="002D37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7B9"/>
  </w:style>
  <w:style w:type="paragraph" w:styleId="Textodeglobo">
    <w:name w:val="Balloon Text"/>
    <w:basedOn w:val="Normal"/>
    <w:link w:val="TextodegloboCar"/>
    <w:uiPriority w:val="99"/>
    <w:semiHidden/>
    <w:unhideWhenUsed/>
    <w:rsid w:val="00FE5B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5B59"/>
    <w:rPr>
      <w:rFonts w:ascii="Segoe UI" w:hAnsi="Segoe UI" w:cs="Segoe UI"/>
      <w:sz w:val="18"/>
      <w:szCs w:val="18"/>
    </w:rPr>
  </w:style>
  <w:style w:type="paragraph" w:styleId="Prrafodelista">
    <w:name w:val="List Paragraph"/>
    <w:basedOn w:val="Normal"/>
    <w:uiPriority w:val="34"/>
    <w:qFormat/>
    <w:rsid w:val="00FE5B59"/>
    <w:pPr>
      <w:ind w:left="720"/>
      <w:contextualSpacing/>
    </w:pPr>
  </w:style>
  <w:style w:type="character" w:styleId="Hipervnculo">
    <w:name w:val="Hyperlink"/>
    <w:basedOn w:val="Fuentedeprrafopredeter"/>
    <w:uiPriority w:val="99"/>
    <w:unhideWhenUsed/>
    <w:rsid w:val="005A1277"/>
    <w:rPr>
      <w:color w:val="0563C1" w:themeColor="hyperlink"/>
      <w:u w:val="single"/>
    </w:rPr>
  </w:style>
  <w:style w:type="character" w:customStyle="1" w:styleId="UnresolvedMention">
    <w:name w:val="Unresolved Mention"/>
    <w:basedOn w:val="Fuentedeprrafopredeter"/>
    <w:uiPriority w:val="99"/>
    <w:semiHidden/>
    <w:unhideWhenUsed/>
    <w:rsid w:val="005A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975">
      <w:bodyDiv w:val="1"/>
      <w:marLeft w:val="0"/>
      <w:marRight w:val="0"/>
      <w:marTop w:val="0"/>
      <w:marBottom w:val="0"/>
      <w:divBdr>
        <w:top w:val="none" w:sz="0" w:space="0" w:color="auto"/>
        <w:left w:val="none" w:sz="0" w:space="0" w:color="auto"/>
        <w:bottom w:val="none" w:sz="0" w:space="0" w:color="auto"/>
        <w:right w:val="none" w:sz="0" w:space="0" w:color="auto"/>
      </w:divBdr>
    </w:div>
    <w:div w:id="754284595">
      <w:bodyDiv w:val="1"/>
      <w:marLeft w:val="0"/>
      <w:marRight w:val="0"/>
      <w:marTop w:val="0"/>
      <w:marBottom w:val="0"/>
      <w:divBdr>
        <w:top w:val="none" w:sz="0" w:space="0" w:color="auto"/>
        <w:left w:val="none" w:sz="0" w:space="0" w:color="auto"/>
        <w:bottom w:val="none" w:sz="0" w:space="0" w:color="auto"/>
        <w:right w:val="none" w:sz="0" w:space="0" w:color="auto"/>
      </w:divBdr>
      <w:divsChild>
        <w:div w:id="1319189052">
          <w:marLeft w:val="480"/>
          <w:marRight w:val="0"/>
          <w:marTop w:val="0"/>
          <w:marBottom w:val="0"/>
          <w:divBdr>
            <w:top w:val="none" w:sz="0" w:space="0" w:color="auto"/>
            <w:left w:val="none" w:sz="0" w:space="0" w:color="auto"/>
            <w:bottom w:val="none" w:sz="0" w:space="0" w:color="auto"/>
            <w:right w:val="none" w:sz="0" w:space="0" w:color="auto"/>
          </w:divBdr>
          <w:divsChild>
            <w:div w:id="1913194531">
              <w:marLeft w:val="0"/>
              <w:marRight w:val="0"/>
              <w:marTop w:val="0"/>
              <w:marBottom w:val="0"/>
              <w:divBdr>
                <w:top w:val="none" w:sz="0" w:space="0" w:color="auto"/>
                <w:left w:val="none" w:sz="0" w:space="0" w:color="auto"/>
                <w:bottom w:val="none" w:sz="0" w:space="0" w:color="auto"/>
                <w:right w:val="none" w:sz="0" w:space="0" w:color="auto"/>
              </w:divBdr>
            </w:div>
            <w:div w:id="815998827">
              <w:marLeft w:val="0"/>
              <w:marRight w:val="0"/>
              <w:marTop w:val="0"/>
              <w:marBottom w:val="0"/>
              <w:divBdr>
                <w:top w:val="none" w:sz="0" w:space="0" w:color="auto"/>
                <w:left w:val="none" w:sz="0" w:space="0" w:color="auto"/>
                <w:bottom w:val="none" w:sz="0" w:space="0" w:color="auto"/>
                <w:right w:val="none" w:sz="0" w:space="0" w:color="auto"/>
              </w:divBdr>
            </w:div>
            <w:div w:id="989987500">
              <w:marLeft w:val="0"/>
              <w:marRight w:val="0"/>
              <w:marTop w:val="0"/>
              <w:marBottom w:val="0"/>
              <w:divBdr>
                <w:top w:val="none" w:sz="0" w:space="0" w:color="auto"/>
                <w:left w:val="none" w:sz="0" w:space="0" w:color="auto"/>
                <w:bottom w:val="none" w:sz="0" w:space="0" w:color="auto"/>
                <w:right w:val="none" w:sz="0" w:space="0" w:color="auto"/>
              </w:divBdr>
            </w:div>
            <w:div w:id="469784730">
              <w:marLeft w:val="0"/>
              <w:marRight w:val="0"/>
              <w:marTop w:val="0"/>
              <w:marBottom w:val="0"/>
              <w:divBdr>
                <w:top w:val="none" w:sz="0" w:space="0" w:color="auto"/>
                <w:left w:val="none" w:sz="0" w:space="0" w:color="auto"/>
                <w:bottom w:val="none" w:sz="0" w:space="0" w:color="auto"/>
                <w:right w:val="none" w:sz="0" w:space="0" w:color="auto"/>
              </w:divBdr>
            </w:div>
            <w:div w:id="930815787">
              <w:marLeft w:val="0"/>
              <w:marRight w:val="0"/>
              <w:marTop w:val="0"/>
              <w:marBottom w:val="0"/>
              <w:divBdr>
                <w:top w:val="none" w:sz="0" w:space="0" w:color="auto"/>
                <w:left w:val="none" w:sz="0" w:space="0" w:color="auto"/>
                <w:bottom w:val="none" w:sz="0" w:space="0" w:color="auto"/>
                <w:right w:val="none" w:sz="0" w:space="0" w:color="auto"/>
              </w:divBdr>
            </w:div>
            <w:div w:id="1399938191">
              <w:marLeft w:val="0"/>
              <w:marRight w:val="0"/>
              <w:marTop w:val="0"/>
              <w:marBottom w:val="0"/>
              <w:divBdr>
                <w:top w:val="none" w:sz="0" w:space="0" w:color="auto"/>
                <w:left w:val="none" w:sz="0" w:space="0" w:color="auto"/>
                <w:bottom w:val="none" w:sz="0" w:space="0" w:color="auto"/>
                <w:right w:val="none" w:sz="0" w:space="0" w:color="auto"/>
              </w:divBdr>
            </w:div>
            <w:div w:id="2089769727">
              <w:marLeft w:val="0"/>
              <w:marRight w:val="0"/>
              <w:marTop w:val="0"/>
              <w:marBottom w:val="0"/>
              <w:divBdr>
                <w:top w:val="none" w:sz="0" w:space="0" w:color="auto"/>
                <w:left w:val="none" w:sz="0" w:space="0" w:color="auto"/>
                <w:bottom w:val="none" w:sz="0" w:space="0" w:color="auto"/>
                <w:right w:val="none" w:sz="0" w:space="0" w:color="auto"/>
              </w:divBdr>
            </w:div>
            <w:div w:id="407922221">
              <w:marLeft w:val="0"/>
              <w:marRight w:val="0"/>
              <w:marTop w:val="0"/>
              <w:marBottom w:val="0"/>
              <w:divBdr>
                <w:top w:val="none" w:sz="0" w:space="0" w:color="auto"/>
                <w:left w:val="none" w:sz="0" w:space="0" w:color="auto"/>
                <w:bottom w:val="none" w:sz="0" w:space="0" w:color="auto"/>
                <w:right w:val="none" w:sz="0" w:space="0" w:color="auto"/>
              </w:divBdr>
            </w:div>
            <w:div w:id="1647783544">
              <w:marLeft w:val="0"/>
              <w:marRight w:val="0"/>
              <w:marTop w:val="0"/>
              <w:marBottom w:val="0"/>
              <w:divBdr>
                <w:top w:val="none" w:sz="0" w:space="0" w:color="auto"/>
                <w:left w:val="none" w:sz="0" w:space="0" w:color="auto"/>
                <w:bottom w:val="none" w:sz="0" w:space="0" w:color="auto"/>
                <w:right w:val="none" w:sz="0" w:space="0" w:color="auto"/>
              </w:divBdr>
            </w:div>
            <w:div w:id="1018435701">
              <w:marLeft w:val="0"/>
              <w:marRight w:val="0"/>
              <w:marTop w:val="0"/>
              <w:marBottom w:val="0"/>
              <w:divBdr>
                <w:top w:val="none" w:sz="0" w:space="0" w:color="auto"/>
                <w:left w:val="none" w:sz="0" w:space="0" w:color="auto"/>
                <w:bottom w:val="none" w:sz="0" w:space="0" w:color="auto"/>
                <w:right w:val="none" w:sz="0" w:space="0" w:color="auto"/>
              </w:divBdr>
            </w:div>
            <w:div w:id="1458455472">
              <w:marLeft w:val="0"/>
              <w:marRight w:val="0"/>
              <w:marTop w:val="0"/>
              <w:marBottom w:val="0"/>
              <w:divBdr>
                <w:top w:val="none" w:sz="0" w:space="0" w:color="auto"/>
                <w:left w:val="none" w:sz="0" w:space="0" w:color="auto"/>
                <w:bottom w:val="none" w:sz="0" w:space="0" w:color="auto"/>
                <w:right w:val="none" w:sz="0" w:space="0" w:color="auto"/>
              </w:divBdr>
            </w:div>
            <w:div w:id="1410232923">
              <w:marLeft w:val="0"/>
              <w:marRight w:val="0"/>
              <w:marTop w:val="0"/>
              <w:marBottom w:val="0"/>
              <w:divBdr>
                <w:top w:val="none" w:sz="0" w:space="0" w:color="auto"/>
                <w:left w:val="none" w:sz="0" w:space="0" w:color="auto"/>
                <w:bottom w:val="none" w:sz="0" w:space="0" w:color="auto"/>
                <w:right w:val="none" w:sz="0" w:space="0" w:color="auto"/>
              </w:divBdr>
            </w:div>
            <w:div w:id="957370953">
              <w:marLeft w:val="0"/>
              <w:marRight w:val="0"/>
              <w:marTop w:val="0"/>
              <w:marBottom w:val="0"/>
              <w:divBdr>
                <w:top w:val="none" w:sz="0" w:space="0" w:color="auto"/>
                <w:left w:val="none" w:sz="0" w:space="0" w:color="auto"/>
                <w:bottom w:val="none" w:sz="0" w:space="0" w:color="auto"/>
                <w:right w:val="none" w:sz="0" w:space="0" w:color="auto"/>
              </w:divBdr>
            </w:div>
            <w:div w:id="1284194889">
              <w:marLeft w:val="0"/>
              <w:marRight w:val="0"/>
              <w:marTop w:val="0"/>
              <w:marBottom w:val="0"/>
              <w:divBdr>
                <w:top w:val="none" w:sz="0" w:space="0" w:color="auto"/>
                <w:left w:val="none" w:sz="0" w:space="0" w:color="auto"/>
                <w:bottom w:val="none" w:sz="0" w:space="0" w:color="auto"/>
                <w:right w:val="none" w:sz="0" w:space="0" w:color="auto"/>
              </w:divBdr>
            </w:div>
            <w:div w:id="2867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20" Type="http://schemas.openxmlformats.org/officeDocument/2006/relationships/hyperlink" Target="http://www.bch.hn/download/honduras_en_cifras/hencifras2014_2016.pdf" TargetMode="External"/><Relationship Id="rId21" Type="http://schemas.openxmlformats.org/officeDocument/2006/relationships/hyperlink" Target="https://www.cia.gov/library/publications/the-world-factbook/geos/ho.html" TargetMode="External"/><Relationship Id="rId22" Type="http://schemas.openxmlformats.org/officeDocument/2006/relationships/hyperlink" Target="https://datosmacro.expansion.com/paises/islandia" TargetMode="External"/><Relationship Id="rId23" Type="http://schemas.openxmlformats.org/officeDocument/2006/relationships/hyperlink" Target="https://es.tradingeconomics.com/iceland/indicators" TargetMode="External"/><Relationship Id="rId24" Type="http://schemas.openxmlformats.org/officeDocument/2006/relationships/hyperlink" Target="https://www.bbc.com/mundo/noticias-39271510" TargetMode="External"/><Relationship Id="rId25" Type="http://schemas.openxmlformats.org/officeDocument/2006/relationships/hyperlink" Target="https://www.redalyc.org/pdf/866/86601813.pdf" TargetMode="External"/><Relationship Id="rId26" Type="http://schemas.openxmlformats.org/officeDocument/2006/relationships/hyperlink" Target="https://www.infobae.com/2014/02/01/1540842-por-que-los-paises-escandinavos-e-islandia-encabezan-todos-los-rankings-mundiales/"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chart" Target="charts/chart4.xml"/><Relationship Id="rId11" Type="http://schemas.openxmlformats.org/officeDocument/2006/relationships/chart" Target="charts/chart5.xml"/><Relationship Id="rId12" Type="http://schemas.openxmlformats.org/officeDocument/2006/relationships/chart" Target="charts/chart6.xml"/><Relationship Id="rId13" Type="http://schemas.openxmlformats.org/officeDocument/2006/relationships/chart" Target="charts/chart7.xml"/><Relationship Id="rId14" Type="http://schemas.openxmlformats.org/officeDocument/2006/relationships/chart" Target="charts/chart8.xml"/><Relationship Id="rId15" Type="http://schemas.openxmlformats.org/officeDocument/2006/relationships/chart" Target="charts/chart9.xml"/><Relationship Id="rId16" Type="http://schemas.openxmlformats.org/officeDocument/2006/relationships/chart" Target="charts/chart10.xml"/><Relationship Id="rId17" Type="http://schemas.openxmlformats.org/officeDocument/2006/relationships/chart" Target="charts/chart11.xml"/><Relationship Id="rId18" Type="http://schemas.openxmlformats.org/officeDocument/2006/relationships/chart" Target="charts/chart12.xml"/><Relationship Id="rId19" Type="http://schemas.openxmlformats.org/officeDocument/2006/relationships/hyperlink" Target="https://elpais.com/politica/2017/10/26/sepa_usted/1509015469_683989.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4" Type="http://schemas.openxmlformats.org/officeDocument/2006/relationships/chartUserShapes" Target="../drawings/drawing1.xml"/><Relationship Id="rId1" Type="http://schemas.microsoft.com/office/2011/relationships/chartStyle" Target="style1.xml"/><Relationship Id="rId2" Type="http://schemas.microsoft.com/office/2011/relationships/chartColorStyle" Target="colors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4" Type="http://schemas.openxmlformats.org/officeDocument/2006/relationships/chartUserShapes" Target="../drawings/drawing10.xml"/><Relationship Id="rId1" Type="http://schemas.microsoft.com/office/2011/relationships/chartStyle" Target="style10.xml"/><Relationship Id="rId2" Type="http://schemas.microsoft.com/office/2011/relationships/chartColorStyle" Target="colors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4" Type="http://schemas.openxmlformats.org/officeDocument/2006/relationships/chartUserShapes" Target="../drawings/drawing11.xml"/><Relationship Id="rId1" Type="http://schemas.microsoft.com/office/2011/relationships/chartStyle" Target="style11.xml"/><Relationship Id="rId2" Type="http://schemas.microsoft.com/office/2011/relationships/chartColorStyle" Target="colors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Hoja_de_c_lculo_de_Microsoft_Excel11.xlsx"/><Relationship Id="rId4" Type="http://schemas.openxmlformats.org/officeDocument/2006/relationships/chartUserShapes" Target="../drawings/drawing12.xml"/><Relationship Id="rId1" Type="http://schemas.microsoft.com/office/2011/relationships/chartStyle" Target="style12.xml"/><Relationship Id="rId2" Type="http://schemas.microsoft.com/office/2011/relationships/chartColorStyle" Target="colors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4" Type="http://schemas.openxmlformats.org/officeDocument/2006/relationships/chartUserShapes" Target="../drawings/drawing2.xm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4" Type="http://schemas.openxmlformats.org/officeDocument/2006/relationships/chartUserShapes" Target="../drawings/drawing3.xml"/><Relationship Id="rId1" Type="http://schemas.microsoft.com/office/2011/relationships/chartStyle" Target="style3.xml"/><Relationship Id="rId2" Type="http://schemas.microsoft.com/office/2011/relationships/chartColorStyle" Target="colors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4" Type="http://schemas.openxmlformats.org/officeDocument/2006/relationships/chartUserShapes" Target="../drawings/drawing4.xml"/><Relationship Id="rId1" Type="http://schemas.microsoft.com/office/2011/relationships/chartStyle" Target="style4.xml"/><Relationship Id="rId2" Type="http://schemas.microsoft.com/office/2011/relationships/chartColorStyle" Target="colors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4" Type="http://schemas.openxmlformats.org/officeDocument/2006/relationships/chartUserShapes" Target="../drawings/drawing5.xml"/><Relationship Id="rId1" Type="http://schemas.microsoft.com/office/2011/relationships/chartStyle" Target="style5.xml"/><Relationship Id="rId2" Type="http://schemas.microsoft.com/office/2011/relationships/chartColorStyle" Target="colors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4" Type="http://schemas.openxmlformats.org/officeDocument/2006/relationships/chartUserShapes" Target="../drawings/drawing6.xml"/><Relationship Id="rId1" Type="http://schemas.microsoft.com/office/2011/relationships/chartStyle" Target="style6.xml"/><Relationship Id="rId2" Type="http://schemas.microsoft.com/office/2011/relationships/chartColorStyle" Target="colors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4" Type="http://schemas.openxmlformats.org/officeDocument/2006/relationships/chartUserShapes" Target="../drawings/drawing7.xml"/><Relationship Id="rId1" Type="http://schemas.microsoft.com/office/2011/relationships/chartStyle" Target="style7.xml"/><Relationship Id="rId2" Type="http://schemas.microsoft.com/office/2011/relationships/chartColorStyle" Target="colors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4" Type="http://schemas.openxmlformats.org/officeDocument/2006/relationships/chartUserShapes" Target="../drawings/drawing8.xml"/><Relationship Id="rId1" Type="http://schemas.microsoft.com/office/2011/relationships/chartStyle" Target="style8.xml"/><Relationship Id="rId2" Type="http://schemas.microsoft.com/office/2011/relationships/chartColorStyle" Target="colors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4" Type="http://schemas.openxmlformats.org/officeDocument/2006/relationships/chartUserShapes" Target="../drawings/drawing9.xml"/><Relationship Id="rId1" Type="http://schemas.microsoft.com/office/2011/relationships/chartStyle" Target="style9.xml"/><Relationship Id="rId2" Type="http://schemas.microsoft.com/office/2011/relationships/chartColorStyle" Target="colors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PRODUCTO INTERNO BRUTO</a:t>
            </a:r>
          </a:p>
        </c:rich>
      </c:tx>
      <c:layout>
        <c:manualLayout>
          <c:xMode val="edge"/>
          <c:yMode val="edge"/>
          <c:x val="0.304117691170957"/>
          <c:y val="0.0290909090909091"/>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35730210194314"/>
          <c:y val="0.14718253968254"/>
          <c:w val="0.838806855025475"/>
          <c:h val="0.658081802274716"/>
        </c:manualLayout>
      </c:layout>
      <c:barChart>
        <c:barDir val="col"/>
        <c:grouping val="clustered"/>
        <c:varyColors val="0"/>
        <c:ser>
          <c:idx val="0"/>
          <c:order val="0"/>
          <c:tx>
            <c:strRef>
              <c:f>Hoja1!$B$1</c:f>
              <c:strCache>
                <c:ptCount val="1"/>
                <c:pt idx="0">
                  <c:v>Islandia</c:v>
                </c:pt>
              </c:strCache>
            </c:strRef>
          </c:tx>
          <c:spPr>
            <a:gradFill rotWithShape="1">
              <a:gsLst>
                <a:gs pos="0">
                  <a:srgbClr val="CC5300"/>
                </a:gs>
                <a:gs pos="50000">
                  <a:srgbClr val="FF6600"/>
                </a:gs>
                <a:gs pos="100000">
                  <a:srgbClr val="CC5300"/>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rgbClr val="CC5300"/>
                  </a:gs>
                  <a:gs pos="50000">
                    <a:srgbClr val="FF6600"/>
                  </a:gs>
                  <a:gs pos="100000">
                    <a:srgbClr val="CC5300"/>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822D-4A3F-98D7-38F2EE993EC8}"/>
              </c:ext>
            </c:extLst>
          </c:dPt>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Hoja1!$B$2:$B$5</c:f>
              <c:numCache>
                <c:formatCode>"$"#,##0.00</c:formatCode>
                <c:ptCount val="4"/>
                <c:pt idx="0">
                  <c:v>17.3</c:v>
                </c:pt>
                <c:pt idx="1">
                  <c:v>16.94</c:v>
                </c:pt>
                <c:pt idx="2">
                  <c:v>20.3</c:v>
                </c:pt>
                <c:pt idx="3">
                  <c:v>23.91</c:v>
                </c:pt>
              </c:numCache>
            </c:numRef>
          </c:val>
          <c:extLst xmlns:c16r2="http://schemas.microsoft.com/office/drawing/2015/06/chart">
            <c:ext xmlns:c16="http://schemas.microsoft.com/office/drawing/2014/chart" uri="{C3380CC4-5D6E-409C-BE32-E72D297353CC}">
              <c16:uniqueId val="{00000002-822D-4A3F-98D7-38F2EE993EC8}"/>
            </c:ext>
          </c:extLst>
        </c:ser>
        <c:ser>
          <c:idx val="1"/>
          <c:order val="1"/>
          <c:tx>
            <c:strRef>
              <c:f>Hoja1!$C$1</c:f>
              <c:strCache>
                <c:ptCount val="1"/>
                <c:pt idx="0">
                  <c:v>Honduras</c:v>
                </c:pt>
              </c:strCache>
            </c:strRef>
          </c:tx>
          <c:spPr>
            <a:gradFill>
              <a:gsLst>
                <a:gs pos="0">
                  <a:srgbClr val="008080"/>
                </a:gs>
                <a:gs pos="50000">
                  <a:srgbClr val="00A4A0"/>
                </a:gs>
                <a:gs pos="100000">
                  <a:srgbClr val="008080"/>
                </a:gs>
              </a:gsLst>
              <a:lin ang="5400000" scaled="0"/>
            </a:gradFill>
            <a:ln>
              <a:noFill/>
            </a:ln>
            <a:effectLst/>
          </c:spPr>
          <c:invertIfNegative val="0"/>
          <c:dLbls>
            <c:spPr>
              <a:solidFill>
                <a:schemeClr val="lt1"/>
              </a:solidFill>
              <a:ln w="12700" cap="flat" cmpd="sng" algn="ctr">
                <a:solidFill>
                  <a:schemeClr val="accent2"/>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Hoja1!$C$2:$C$5</c:f>
              <c:numCache>
                <c:formatCode>"$"#,##0.00</c:formatCode>
                <c:ptCount val="4"/>
                <c:pt idx="0">
                  <c:v>19.76</c:v>
                </c:pt>
                <c:pt idx="1">
                  <c:v>23.17</c:v>
                </c:pt>
                <c:pt idx="2">
                  <c:v>23.91</c:v>
                </c:pt>
                <c:pt idx="3">
                  <c:v>24.81</c:v>
                </c:pt>
              </c:numCache>
            </c:numRef>
          </c:val>
          <c:extLst xmlns:c16r2="http://schemas.microsoft.com/office/drawing/2015/06/chart">
            <c:ext xmlns:c16="http://schemas.microsoft.com/office/drawing/2014/chart" uri="{C3380CC4-5D6E-409C-BE32-E72D297353CC}">
              <c16:uniqueId val="{00000003-822D-4A3F-98D7-38F2EE993EC8}"/>
            </c:ext>
          </c:extLst>
        </c:ser>
        <c:dLbls>
          <c:dLblPos val="inEnd"/>
          <c:showLegendKey val="0"/>
          <c:showVal val="1"/>
          <c:showCatName val="0"/>
          <c:showSerName val="0"/>
          <c:showPercent val="0"/>
          <c:showBubbleSize val="0"/>
        </c:dLbls>
        <c:gapWidth val="219"/>
        <c:overlap val="-27"/>
        <c:axId val="-2144604160"/>
        <c:axId val="-2144607440"/>
      </c:barChart>
      <c:catAx>
        <c:axId val="-214460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44607440"/>
        <c:crosses val="autoZero"/>
        <c:auto val="1"/>
        <c:lblAlgn val="ctr"/>
        <c:lblOffset val="100"/>
        <c:noMultiLvlLbl val="0"/>
      </c:catAx>
      <c:valAx>
        <c:axId val="-214460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HN"/>
                  <a:t>Miles de Millones de Dolares</a:t>
                </a:r>
              </a:p>
            </c:rich>
          </c:tx>
          <c:layout>
            <c:manualLayout>
              <c:xMode val="edge"/>
              <c:yMode val="edge"/>
              <c:x val="0.014432784137277"/>
              <c:y val="0.1968652827487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44604160"/>
        <c:crosses val="autoZero"/>
        <c:crossBetween val="between"/>
      </c:valAx>
      <c:spPr>
        <a:noFill/>
        <a:ln>
          <a:noFill/>
        </a:ln>
        <a:effectLst/>
      </c:spPr>
    </c:plotArea>
    <c:legend>
      <c:legendPos val="b"/>
      <c:layout>
        <c:manualLayout>
          <c:xMode val="edge"/>
          <c:yMode val="edge"/>
          <c:x val="0.393955963837854"/>
          <c:y val="0.885416197975253"/>
          <c:w val="0.231342228054826"/>
          <c:h val="0.06696475440569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400" b="1"/>
              <a:t>SALARIO MÍNIMO (EN DÓLARES)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0919271292717738"/>
          <c:y val="0.176834993417621"/>
          <c:w val="0.883180361110665"/>
          <c:h val="0.568158097884823"/>
        </c:manualLayout>
      </c:layout>
      <c:barChart>
        <c:barDir val="col"/>
        <c:grouping val="clustered"/>
        <c:varyColors val="0"/>
        <c:ser>
          <c:idx val="0"/>
          <c:order val="0"/>
          <c:tx>
            <c:strRef>
              <c:f>Sheet1!$B$1</c:f>
              <c:strCache>
                <c:ptCount val="1"/>
                <c:pt idx="0">
                  <c:v>Honduras</c:v>
                </c:pt>
              </c:strCache>
            </c:strRef>
          </c:tx>
          <c:spPr>
            <a:solidFill>
              <a:schemeClr val="accent1"/>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Sheet1!$B$2:$B$5</c:f>
              <c:numCache>
                <c:formatCode>General</c:formatCode>
                <c:ptCount val="4"/>
                <c:pt idx="0">
                  <c:v>324.64</c:v>
                </c:pt>
                <c:pt idx="1">
                  <c:v>363.22</c:v>
                </c:pt>
                <c:pt idx="2">
                  <c:v>344.38</c:v>
                </c:pt>
                <c:pt idx="3">
                  <c:v>357.01</c:v>
                </c:pt>
              </c:numCache>
            </c:numRef>
          </c:val>
          <c:extLst xmlns:c16r2="http://schemas.microsoft.com/office/drawing/2015/06/chart">
            <c:ext xmlns:c16="http://schemas.microsoft.com/office/drawing/2014/chart" uri="{C3380CC4-5D6E-409C-BE32-E72D297353CC}">
              <c16:uniqueId val="{00000000-EC06-48FF-BF30-FE6D92779F7E}"/>
            </c:ext>
          </c:extLst>
        </c:ser>
        <c:ser>
          <c:idx val="1"/>
          <c:order val="1"/>
          <c:tx>
            <c:strRef>
              <c:f>Sheet1!$C$1</c:f>
              <c:strCache>
                <c:ptCount val="1"/>
                <c:pt idx="0">
                  <c:v>Dinamarca</c:v>
                </c:pt>
              </c:strCache>
            </c:strRef>
          </c:tx>
          <c:spPr>
            <a:solidFill>
              <a:schemeClr val="accent2"/>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Sheet1!$C$2:$C$5</c:f>
              <c:numCache>
                <c:formatCode>General</c:formatCode>
                <c:ptCount val="4"/>
                <c:pt idx="0">
                  <c:v>5906.81</c:v>
                </c:pt>
                <c:pt idx="1">
                  <c:v>6000.34</c:v>
                </c:pt>
                <c:pt idx="2">
                  <c:v>6080.23</c:v>
                </c:pt>
                <c:pt idx="3">
                  <c:v>6209.4</c:v>
                </c:pt>
              </c:numCache>
            </c:numRef>
          </c:val>
          <c:extLst xmlns:c16r2="http://schemas.microsoft.com/office/drawing/2015/06/chart">
            <c:ext xmlns:c16="http://schemas.microsoft.com/office/drawing/2014/chart" uri="{C3380CC4-5D6E-409C-BE32-E72D297353CC}">
              <c16:uniqueId val="{00000001-EC06-48FF-BF30-FE6D92779F7E}"/>
            </c:ext>
          </c:extLst>
        </c:ser>
        <c:dLbls>
          <c:dLblPos val="outEnd"/>
          <c:showLegendKey val="0"/>
          <c:showVal val="1"/>
          <c:showCatName val="0"/>
          <c:showSerName val="0"/>
          <c:showPercent val="0"/>
          <c:showBubbleSize val="0"/>
        </c:dLbls>
        <c:gapWidth val="219"/>
        <c:overlap val="-27"/>
        <c:axId val="2125693936"/>
        <c:axId val="-2131535984"/>
      </c:barChart>
      <c:catAx>
        <c:axId val="212569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31535984"/>
        <c:crosses val="autoZero"/>
        <c:auto val="1"/>
        <c:lblAlgn val="ctr"/>
        <c:lblOffset val="100"/>
        <c:noMultiLvlLbl val="0"/>
      </c:catAx>
      <c:valAx>
        <c:axId val="-213153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5693936"/>
        <c:crosses val="autoZero"/>
        <c:crossBetween val="between"/>
      </c:valAx>
      <c:spPr>
        <a:noFill/>
        <a:ln>
          <a:noFill/>
        </a:ln>
        <a:effectLst/>
      </c:spPr>
    </c:plotArea>
    <c:legend>
      <c:legendPos val="b"/>
      <c:layout>
        <c:manualLayout>
          <c:xMode val="edge"/>
          <c:yMode val="edge"/>
          <c:x val="0.374538722374571"/>
          <c:y val="0.837889283447412"/>
          <c:w val="0.250922555250858"/>
          <c:h val="0.066731248499300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400" b="1"/>
              <a:t>TASA DE INFLACIÓN</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50266476364589"/>
          <c:y val="0.128830255149383"/>
          <c:w val="0.781041244589844"/>
          <c:h val="0.608436767984647"/>
        </c:manualLayout>
      </c:layout>
      <c:barChart>
        <c:barDir val="col"/>
        <c:grouping val="clustered"/>
        <c:varyColors val="0"/>
        <c:ser>
          <c:idx val="0"/>
          <c:order val="0"/>
          <c:tx>
            <c:strRef>
              <c:f>Sheet1!$B$1</c:f>
              <c:strCache>
                <c:ptCount val="1"/>
                <c:pt idx="0">
                  <c:v>Honduras</c:v>
                </c:pt>
              </c:strCache>
            </c:strRef>
          </c:tx>
          <c:spPr>
            <a:solidFill>
              <a:schemeClr val="accent1"/>
            </a:solidFill>
            <a:ln>
              <a:noFill/>
            </a:ln>
            <a:effectLst/>
          </c:spPr>
          <c:invertIfNegative val="0"/>
          <c:dLbls>
            <c:spPr>
              <a:no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Sheet1!$B$2:$B$5</c:f>
              <c:numCache>
                <c:formatCode>General</c:formatCode>
                <c:ptCount val="4"/>
                <c:pt idx="0">
                  <c:v>6.1</c:v>
                </c:pt>
                <c:pt idx="1">
                  <c:v>3.2</c:v>
                </c:pt>
                <c:pt idx="2">
                  <c:v>2.7</c:v>
                </c:pt>
                <c:pt idx="3">
                  <c:v>3.9</c:v>
                </c:pt>
              </c:numCache>
            </c:numRef>
          </c:val>
          <c:extLst xmlns:c16r2="http://schemas.microsoft.com/office/drawing/2015/06/chart">
            <c:ext xmlns:c16="http://schemas.microsoft.com/office/drawing/2014/chart" uri="{C3380CC4-5D6E-409C-BE32-E72D297353CC}">
              <c16:uniqueId val="{00000000-6FF5-4B88-9E09-866296129A72}"/>
            </c:ext>
          </c:extLst>
        </c:ser>
        <c:ser>
          <c:idx val="1"/>
          <c:order val="1"/>
          <c:tx>
            <c:strRef>
              <c:f>Sheet1!$C$1</c:f>
              <c:strCache>
                <c:ptCount val="1"/>
                <c:pt idx="0">
                  <c:v>Dinamarca</c:v>
                </c:pt>
              </c:strCache>
            </c:strRef>
          </c:tx>
          <c:spPr>
            <a:solidFill>
              <a:schemeClr val="accent2"/>
            </a:solidFill>
            <a:ln>
              <a:noFill/>
            </a:ln>
            <a:effectLst/>
          </c:spPr>
          <c:invertIfNegative val="0"/>
          <c:dLbls>
            <c:spPr>
              <a:no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Sheet1!$C$2:$C$5</c:f>
              <c:numCache>
                <c:formatCode>General</c:formatCode>
                <c:ptCount val="4"/>
                <c:pt idx="0">
                  <c:v>0.6</c:v>
                </c:pt>
                <c:pt idx="1">
                  <c:v>0.5</c:v>
                </c:pt>
                <c:pt idx="2">
                  <c:v>0.3</c:v>
                </c:pt>
                <c:pt idx="3">
                  <c:v>1.1</c:v>
                </c:pt>
              </c:numCache>
            </c:numRef>
          </c:val>
          <c:extLst xmlns:c16r2="http://schemas.microsoft.com/office/drawing/2015/06/chart">
            <c:ext xmlns:c16="http://schemas.microsoft.com/office/drawing/2014/chart" uri="{C3380CC4-5D6E-409C-BE32-E72D297353CC}">
              <c16:uniqueId val="{00000001-6FF5-4B88-9E09-866296129A72}"/>
            </c:ext>
          </c:extLst>
        </c:ser>
        <c:dLbls>
          <c:dLblPos val="outEnd"/>
          <c:showLegendKey val="0"/>
          <c:showVal val="1"/>
          <c:showCatName val="0"/>
          <c:showSerName val="0"/>
          <c:showPercent val="0"/>
          <c:showBubbleSize val="0"/>
        </c:dLbls>
        <c:gapWidth val="219"/>
        <c:overlap val="-27"/>
        <c:axId val="-2142075664"/>
        <c:axId val="-2140386672"/>
      </c:barChart>
      <c:catAx>
        <c:axId val="-214207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40386672"/>
        <c:crosses val="autoZero"/>
        <c:auto val="1"/>
        <c:lblAlgn val="ctr"/>
        <c:lblOffset val="100"/>
        <c:noMultiLvlLbl val="0"/>
      </c:catAx>
      <c:valAx>
        <c:axId val="-214038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200"/>
                  <a:t>Porcentaje (%)</a:t>
                </a:r>
              </a:p>
            </c:rich>
          </c:tx>
          <c:layout>
            <c:manualLayout>
              <c:xMode val="edge"/>
              <c:yMode val="edge"/>
              <c:x val="0.0369881109643329"/>
              <c:y val="0.36085882547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42075664"/>
        <c:crosses val="autoZero"/>
        <c:crossBetween val="between"/>
      </c:valAx>
      <c:spPr>
        <a:solidFill>
          <a:schemeClr val="bg1"/>
        </a:solidFill>
        <a:ln>
          <a:noFill/>
        </a:ln>
        <a:effectLst/>
      </c:spPr>
    </c:plotArea>
    <c:legend>
      <c:legendPos val="b"/>
      <c:layout>
        <c:manualLayout>
          <c:xMode val="edge"/>
          <c:yMode val="edge"/>
          <c:x val="0.333109710573347"/>
          <c:y val="0.818139022944713"/>
          <c:w val="0.333780400667839"/>
          <c:h val="0.074334075587490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400" b="1"/>
              <a:t>ÍNDICE DE DESARROLLO HUMANO</a:t>
            </a:r>
          </a:p>
        </c:rich>
      </c:tx>
      <c:layout>
        <c:manualLayout>
          <c:xMode val="edge"/>
          <c:yMode val="edge"/>
          <c:x val="0.217277575537274"/>
          <c:y val="0.0221606648199446"/>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0722761984746985"/>
          <c:y val="0.164340515323868"/>
          <c:w val="0.878803053441305"/>
          <c:h val="0.62811198600175"/>
        </c:manualLayout>
      </c:layout>
      <c:barChart>
        <c:barDir val="col"/>
        <c:grouping val="clustered"/>
        <c:varyColors val="0"/>
        <c:ser>
          <c:idx val="0"/>
          <c:order val="0"/>
          <c:tx>
            <c:strRef>
              <c:f>Sheet1!$B$1</c:f>
              <c:strCache>
                <c:ptCount val="1"/>
                <c:pt idx="0">
                  <c:v>Honduras</c:v>
                </c:pt>
              </c:strCache>
            </c:strRef>
          </c:tx>
          <c:spPr>
            <a:solidFill>
              <a:schemeClr val="accent1"/>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Sheet1!$B$2:$B$5</c:f>
              <c:numCache>
                <c:formatCode>General</c:formatCode>
                <c:ptCount val="4"/>
                <c:pt idx="0">
                  <c:v>0.6</c:v>
                </c:pt>
                <c:pt idx="1">
                  <c:v>0.61</c:v>
                </c:pt>
                <c:pt idx="2">
                  <c:v>0.61</c:v>
                </c:pt>
                <c:pt idx="3">
                  <c:v>0.62</c:v>
                </c:pt>
              </c:numCache>
            </c:numRef>
          </c:val>
          <c:extLst xmlns:c16r2="http://schemas.microsoft.com/office/drawing/2015/06/chart">
            <c:ext xmlns:c16="http://schemas.microsoft.com/office/drawing/2014/chart" uri="{C3380CC4-5D6E-409C-BE32-E72D297353CC}">
              <c16:uniqueId val="{00000000-4690-43FD-BF74-15C6E1EFBF26}"/>
            </c:ext>
          </c:extLst>
        </c:ser>
        <c:ser>
          <c:idx val="1"/>
          <c:order val="1"/>
          <c:tx>
            <c:strRef>
              <c:f>Sheet1!$C$1</c:f>
              <c:strCache>
                <c:ptCount val="1"/>
                <c:pt idx="0">
                  <c:v>Dinamarca</c:v>
                </c:pt>
              </c:strCache>
            </c:strRef>
          </c:tx>
          <c:spPr>
            <a:solidFill>
              <a:schemeClr val="accent2"/>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Sheet1!$C$2:$C$5</c:f>
              <c:numCache>
                <c:formatCode>General</c:formatCode>
                <c:ptCount val="4"/>
                <c:pt idx="0">
                  <c:v>0.93</c:v>
                </c:pt>
                <c:pt idx="1">
                  <c:v>0.93</c:v>
                </c:pt>
                <c:pt idx="2">
                  <c:v>0.93</c:v>
                </c:pt>
                <c:pt idx="3">
                  <c:v>0.93</c:v>
                </c:pt>
              </c:numCache>
            </c:numRef>
          </c:val>
          <c:extLst xmlns:c16r2="http://schemas.microsoft.com/office/drawing/2015/06/chart">
            <c:ext xmlns:c16="http://schemas.microsoft.com/office/drawing/2014/chart" uri="{C3380CC4-5D6E-409C-BE32-E72D297353CC}">
              <c16:uniqueId val="{00000001-4690-43FD-BF74-15C6E1EFBF26}"/>
            </c:ext>
          </c:extLst>
        </c:ser>
        <c:dLbls>
          <c:dLblPos val="outEnd"/>
          <c:showLegendKey val="0"/>
          <c:showVal val="1"/>
          <c:showCatName val="0"/>
          <c:showSerName val="0"/>
          <c:showPercent val="0"/>
          <c:showBubbleSize val="0"/>
        </c:dLbls>
        <c:gapWidth val="219"/>
        <c:overlap val="-27"/>
        <c:axId val="-2130822432"/>
        <c:axId val="2121056464"/>
      </c:barChart>
      <c:catAx>
        <c:axId val="-213082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1056464"/>
        <c:crosses val="autoZero"/>
        <c:auto val="1"/>
        <c:lblAlgn val="ctr"/>
        <c:lblOffset val="100"/>
        <c:noMultiLvlLbl val="0"/>
      </c:catAx>
      <c:valAx>
        <c:axId val="212105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30822432"/>
        <c:crosses val="autoZero"/>
        <c:crossBetween val="between"/>
      </c:valAx>
      <c:spPr>
        <a:noFill/>
        <a:ln>
          <a:noFill/>
        </a:ln>
        <a:effectLst/>
      </c:spPr>
    </c:plotArea>
    <c:legend>
      <c:legendPos val="b"/>
      <c:layout>
        <c:manualLayout>
          <c:xMode val="edge"/>
          <c:yMode val="edge"/>
          <c:x val="0.374538722374571"/>
          <c:y val="0.867584147289507"/>
          <c:w val="0.250922555250858"/>
          <c:h val="0.062034621038939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PRODUCTO</a:t>
            </a:r>
            <a:r>
              <a:rPr lang="en-US" b="1" baseline="0"/>
              <a:t> INTERNO BRUTO</a:t>
            </a:r>
            <a:r>
              <a:rPr lang="en-US" b="1"/>
              <a:t> PER CAPITA</a:t>
            </a:r>
          </a:p>
        </c:rich>
      </c:tx>
      <c:layout>
        <c:manualLayout>
          <c:xMode val="edge"/>
          <c:yMode val="edge"/>
          <c:x val="0.177384259259259"/>
          <c:y val="0.026229488489511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85842993584135"/>
          <c:y val="0.143214285714286"/>
          <c:w val="0.781749599008457"/>
          <c:h val="0.654113548306462"/>
        </c:manualLayout>
      </c:layout>
      <c:barChart>
        <c:barDir val="col"/>
        <c:grouping val="clustered"/>
        <c:varyColors val="0"/>
        <c:ser>
          <c:idx val="0"/>
          <c:order val="0"/>
          <c:tx>
            <c:strRef>
              <c:f>Hoja1!$B$1</c:f>
              <c:strCache>
                <c:ptCount val="1"/>
                <c:pt idx="0">
                  <c:v>Islandia</c:v>
                </c:pt>
              </c:strCache>
            </c:strRef>
          </c:tx>
          <c:spPr>
            <a:gradFill>
              <a:gsLst>
                <a:gs pos="0">
                  <a:srgbClr val="CC5300"/>
                </a:gs>
                <a:gs pos="50000">
                  <a:srgbClr val="FF6600"/>
                </a:gs>
                <a:gs pos="100000">
                  <a:srgbClr val="CC5300"/>
                </a:gs>
              </a:gsLst>
              <a:lin ang="5400000" scaled="0"/>
            </a:gradFill>
            <a:ln>
              <a:noFill/>
            </a:ln>
            <a:effectLst>
              <a:outerShdw blurRad="57150" dist="19050" dir="5400000" algn="ctr" rotWithShape="0">
                <a:srgbClr val="000000">
                  <a:alpha val="63000"/>
                </a:srgbClr>
              </a:outerShdw>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Hoja1!$B$2:$B$5</c:f>
              <c:numCache>
                <c:formatCode>"$"#,##0.00</c:formatCode>
                <c:ptCount val="4"/>
                <c:pt idx="0">
                  <c:v>52855.14</c:v>
                </c:pt>
                <c:pt idx="1">
                  <c:v>51213.66</c:v>
                </c:pt>
                <c:pt idx="2">
                  <c:v>60529.93</c:v>
                </c:pt>
                <c:pt idx="3">
                  <c:v>70056.87</c:v>
                </c:pt>
              </c:numCache>
            </c:numRef>
          </c:val>
          <c:extLst xmlns:c16r2="http://schemas.microsoft.com/office/drawing/2015/06/chart">
            <c:ext xmlns:c16="http://schemas.microsoft.com/office/drawing/2014/chart" uri="{C3380CC4-5D6E-409C-BE32-E72D297353CC}">
              <c16:uniqueId val="{00000000-29E6-4A66-9780-A72B3F3F5093}"/>
            </c:ext>
          </c:extLst>
        </c:ser>
        <c:ser>
          <c:idx val="1"/>
          <c:order val="1"/>
          <c:tx>
            <c:strRef>
              <c:f>Hoja1!$C$1</c:f>
              <c:strCache>
                <c:ptCount val="1"/>
                <c:pt idx="0">
                  <c:v>Honduras</c:v>
                </c:pt>
              </c:strCache>
            </c:strRef>
          </c:tx>
          <c:spPr>
            <a:gradFill>
              <a:gsLst>
                <a:gs pos="0">
                  <a:srgbClr val="008080"/>
                </a:gs>
                <a:gs pos="50000">
                  <a:srgbClr val="00A4A0"/>
                </a:gs>
                <a:gs pos="100000">
                  <a:srgbClr val="008080"/>
                </a:gs>
              </a:gsLst>
              <a:lin ang="5400000" scaled="0"/>
            </a:gradFill>
            <a:ln>
              <a:noFill/>
            </a:ln>
            <a:effectLst/>
          </c:spPr>
          <c:invertIfNegative val="0"/>
          <c:dLbls>
            <c:dLbl>
              <c:idx val="0"/>
              <c:layout>
                <c:manualLayout>
                  <c:x val="0.0069444444444444"/>
                  <c:y val="-0.003701148926632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9E6-4A66-9780-A72B3F3F5093}"/>
                </c:ext>
                <c:ext xmlns:c15="http://schemas.microsoft.com/office/drawing/2012/chart" uri="{CE6537A1-D6FC-4f65-9D91-7224C49458BB}"/>
              </c:extLst>
            </c:dLbl>
            <c:dLbl>
              <c:idx val="1"/>
              <c:layout>
                <c:manualLayout>
                  <c:x val="-8.48755627201335E-17"/>
                  <c:y val="0.00077771270326746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9E6-4A66-9780-A72B3F3F5093}"/>
                </c:ext>
                <c:ext xmlns:c15="http://schemas.microsoft.com/office/drawing/2012/chart" uri="{CE6537A1-D6FC-4f65-9D91-7224C49458BB}"/>
              </c:extLst>
            </c:dLbl>
            <c:dLbl>
              <c:idx val="2"/>
              <c:layout>
                <c:manualLayout>
                  <c:x val="-8.48755627201335E-17"/>
                  <c:y val="0.0010542070670918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9E6-4A66-9780-A72B3F3F5093}"/>
                </c:ext>
                <c:ext xmlns:c15="http://schemas.microsoft.com/office/drawing/2012/chart" uri="{CE6537A1-D6FC-4f65-9D91-7224C49458BB}"/>
              </c:extLst>
            </c:dLbl>
            <c:dLbl>
              <c:idx val="3"/>
              <c:layout>
                <c:manualLayout>
                  <c:x val="0.0"/>
                  <c:y val="-0.0017599039789447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9E6-4A66-9780-A72B3F3F5093}"/>
                </c:ext>
                <c:ext xmlns:c15="http://schemas.microsoft.com/office/drawing/2012/chart" uri="{CE6537A1-D6FC-4f65-9D91-7224C49458BB}"/>
              </c:extLst>
            </c:dLbl>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Hoja1!$C$2:$C$5</c:f>
              <c:numCache>
                <c:formatCode>"$"#,##0.00</c:formatCode>
                <c:ptCount val="4"/>
                <c:pt idx="0">
                  <c:v>2242.71</c:v>
                </c:pt>
                <c:pt idx="1">
                  <c:v>2341.28</c:v>
                </c:pt>
                <c:pt idx="2">
                  <c:v>2375.1</c:v>
                </c:pt>
                <c:pt idx="3">
                  <c:v>2480.13</c:v>
                </c:pt>
              </c:numCache>
            </c:numRef>
          </c:val>
          <c:extLst xmlns:c16r2="http://schemas.microsoft.com/office/drawing/2015/06/chart">
            <c:ext xmlns:c16="http://schemas.microsoft.com/office/drawing/2014/chart" uri="{C3380CC4-5D6E-409C-BE32-E72D297353CC}">
              <c16:uniqueId val="{00000005-29E6-4A66-9780-A72B3F3F5093}"/>
            </c:ext>
          </c:extLst>
        </c:ser>
        <c:dLbls>
          <c:dLblPos val="inEnd"/>
          <c:showLegendKey val="0"/>
          <c:showVal val="1"/>
          <c:showCatName val="0"/>
          <c:showSerName val="0"/>
          <c:showPercent val="0"/>
          <c:showBubbleSize val="0"/>
        </c:dLbls>
        <c:gapWidth val="219"/>
        <c:overlap val="-27"/>
        <c:axId val="2122156384"/>
        <c:axId val="2129489712"/>
      </c:barChart>
      <c:catAx>
        <c:axId val="21221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9489712"/>
        <c:crosses val="autoZero"/>
        <c:auto val="1"/>
        <c:lblAlgn val="ctr"/>
        <c:lblOffset val="100"/>
        <c:noMultiLvlLbl val="0"/>
      </c:catAx>
      <c:valAx>
        <c:axId val="212948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HN"/>
                  <a:t>Miles de Dolares</a:t>
                </a:r>
              </a:p>
            </c:rich>
          </c:tx>
          <c:layout>
            <c:manualLayout>
              <c:xMode val="edge"/>
              <c:yMode val="edge"/>
              <c:x val="0.012117964421114"/>
              <c:y val="0.3397132383245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2156384"/>
        <c:crosses val="autoZero"/>
        <c:crossBetween val="between"/>
      </c:valAx>
      <c:spPr>
        <a:noFill/>
        <a:ln>
          <a:noFill/>
        </a:ln>
        <a:effectLst/>
      </c:spPr>
    </c:plotArea>
    <c:legend>
      <c:legendPos val="b"/>
      <c:layout>
        <c:manualLayout>
          <c:xMode val="edge"/>
          <c:yMode val="edge"/>
          <c:x val="0.442567074948965"/>
          <c:y val="0.865574928133983"/>
          <c:w val="0.231342228054826"/>
          <c:h val="0.06696475440569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TASA DE DESEMPLEO  </a:t>
            </a:r>
          </a:p>
        </c:rich>
      </c:tx>
      <c:layout>
        <c:manualLayout>
          <c:xMode val="edge"/>
          <c:yMode val="edge"/>
          <c:x val="0.330467281333423"/>
          <c:y val="0.0230880230880231"/>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25551024070709"/>
          <c:y val="0.14718253968254"/>
          <c:w val="0.848985979316688"/>
          <c:h val="0.609783318028175"/>
        </c:manualLayout>
      </c:layout>
      <c:barChart>
        <c:barDir val="col"/>
        <c:grouping val="clustered"/>
        <c:varyColors val="0"/>
        <c:ser>
          <c:idx val="0"/>
          <c:order val="0"/>
          <c:tx>
            <c:strRef>
              <c:f>Hoja1!$B$1</c:f>
              <c:strCache>
                <c:ptCount val="1"/>
                <c:pt idx="0">
                  <c:v>Islandia</c:v>
                </c:pt>
              </c:strCache>
            </c:strRef>
          </c:tx>
          <c:spPr>
            <a:gradFill>
              <a:gsLst>
                <a:gs pos="0">
                  <a:srgbClr val="CC5300"/>
                </a:gs>
                <a:gs pos="50000">
                  <a:srgbClr val="FF6600"/>
                </a:gs>
                <a:gs pos="100000">
                  <a:srgbClr val="CC5300"/>
                </a:gs>
              </a:gsLst>
              <a:lin ang="5400000" scaled="0"/>
            </a:gradFill>
            <a:ln>
              <a:noFill/>
            </a:ln>
            <a:effectLst>
              <a:outerShdw blurRad="57150" dist="19050" dir="5400000" algn="ctr" rotWithShape="0">
                <a:srgbClr val="000000">
                  <a:alpha val="63000"/>
                </a:srgbClr>
              </a:outerShdw>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Hoja1!$B$2:$B$5</c:f>
              <c:numCache>
                <c:formatCode>0.0</c:formatCode>
                <c:ptCount val="4"/>
                <c:pt idx="0">
                  <c:v>4.4</c:v>
                </c:pt>
                <c:pt idx="1">
                  <c:v>3.4</c:v>
                </c:pt>
                <c:pt idx="2">
                  <c:v>2.6</c:v>
                </c:pt>
                <c:pt idx="3">
                  <c:v>3.1</c:v>
                </c:pt>
              </c:numCache>
            </c:numRef>
          </c:val>
          <c:extLst xmlns:c16r2="http://schemas.microsoft.com/office/drawing/2015/06/chart">
            <c:ext xmlns:c16="http://schemas.microsoft.com/office/drawing/2014/chart" uri="{C3380CC4-5D6E-409C-BE32-E72D297353CC}">
              <c16:uniqueId val="{00000000-DEAA-4742-BE24-42F3687A48E1}"/>
            </c:ext>
          </c:extLst>
        </c:ser>
        <c:ser>
          <c:idx val="1"/>
          <c:order val="1"/>
          <c:tx>
            <c:strRef>
              <c:f>Hoja1!$C$1</c:f>
              <c:strCache>
                <c:ptCount val="1"/>
                <c:pt idx="0">
                  <c:v>Honduras</c:v>
                </c:pt>
              </c:strCache>
            </c:strRef>
          </c:tx>
          <c:spPr>
            <a:gradFill>
              <a:gsLst>
                <a:gs pos="0">
                  <a:srgbClr val="008080"/>
                </a:gs>
                <a:gs pos="50000">
                  <a:srgbClr val="00A4A0"/>
                </a:gs>
                <a:gs pos="100000">
                  <a:srgbClr val="008080"/>
                </a:gs>
              </a:gsLst>
              <a:lin ang="5400000" scaled="0"/>
            </a:gradFill>
            <a:ln>
              <a:noFill/>
            </a:ln>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Hoja1!$C$2:$C$5</c:f>
              <c:numCache>
                <c:formatCode>General</c:formatCode>
                <c:ptCount val="4"/>
                <c:pt idx="0">
                  <c:v>5.3</c:v>
                </c:pt>
                <c:pt idx="1">
                  <c:v>7.3</c:v>
                </c:pt>
                <c:pt idx="2">
                  <c:v>7.4</c:v>
                </c:pt>
                <c:pt idx="3">
                  <c:v>6.7</c:v>
                </c:pt>
              </c:numCache>
            </c:numRef>
          </c:val>
          <c:extLst xmlns:c16r2="http://schemas.microsoft.com/office/drawing/2015/06/chart">
            <c:ext xmlns:c16="http://schemas.microsoft.com/office/drawing/2014/chart" uri="{C3380CC4-5D6E-409C-BE32-E72D297353CC}">
              <c16:uniqueId val="{00000001-DEAA-4742-BE24-42F3687A48E1}"/>
            </c:ext>
          </c:extLst>
        </c:ser>
        <c:dLbls>
          <c:dLblPos val="inEnd"/>
          <c:showLegendKey val="0"/>
          <c:showVal val="1"/>
          <c:showCatName val="0"/>
          <c:showSerName val="0"/>
          <c:showPercent val="0"/>
          <c:showBubbleSize val="0"/>
        </c:dLbls>
        <c:gapWidth val="219"/>
        <c:overlap val="-27"/>
        <c:axId val="-2135287712"/>
        <c:axId val="-2142187488"/>
      </c:barChart>
      <c:catAx>
        <c:axId val="-213528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42187488"/>
        <c:crosses val="autoZero"/>
        <c:auto val="1"/>
        <c:lblAlgn val="ctr"/>
        <c:lblOffset val="100"/>
        <c:noMultiLvlLbl val="0"/>
      </c:catAx>
      <c:valAx>
        <c:axId val="-2142187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35287712"/>
        <c:crosses val="autoZero"/>
        <c:crossBetween val="between"/>
      </c:valAx>
      <c:spPr>
        <a:noFill/>
        <a:ln>
          <a:noFill/>
        </a:ln>
        <a:effectLst/>
      </c:spPr>
    </c:plotArea>
    <c:legend>
      <c:legendPos val="b"/>
      <c:layout>
        <c:manualLayout>
          <c:xMode val="edge"/>
          <c:yMode val="edge"/>
          <c:x val="0.431171052336407"/>
          <c:y val="0.84329471223045"/>
          <c:w val="0.231342228054826"/>
          <c:h val="0.066964754405699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HN" b="1"/>
              <a:t>SALARIO MÍNIMO-MEDIO (EN DÓLARES)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95102252843395"/>
          <c:y val="0.139246031746032"/>
          <c:w val="0.779434784193642"/>
          <c:h val="0.618399262592176"/>
        </c:manualLayout>
      </c:layout>
      <c:barChart>
        <c:barDir val="col"/>
        <c:grouping val="clustered"/>
        <c:varyColors val="0"/>
        <c:ser>
          <c:idx val="0"/>
          <c:order val="0"/>
          <c:tx>
            <c:strRef>
              <c:f>Hoja1!$B$1</c:f>
              <c:strCache>
                <c:ptCount val="1"/>
                <c:pt idx="0">
                  <c:v>Islandia</c:v>
                </c:pt>
              </c:strCache>
            </c:strRef>
          </c:tx>
          <c:spPr>
            <a:gradFill>
              <a:gsLst>
                <a:gs pos="0">
                  <a:srgbClr val="CC5300"/>
                </a:gs>
                <a:gs pos="50000">
                  <a:srgbClr val="FF6600"/>
                </a:gs>
                <a:gs pos="100000">
                  <a:srgbClr val="CC5300"/>
                </a:gs>
              </a:gsLst>
              <a:lin ang="5400000" scaled="0"/>
            </a:gradFill>
            <a:ln>
              <a:noFill/>
            </a:ln>
            <a:effectLst/>
          </c:spPr>
          <c:invertIfNegative val="0"/>
          <c:dLbls>
            <c:numFmt formatCode="&quot;$&quot;#,##0.00" sourceLinked="0"/>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Hoja1!$B$2:$B$5</c:f>
              <c:numCache>
                <c:formatCode>#,##0.00</c:formatCode>
                <c:ptCount val="4"/>
                <c:pt idx="0">
                  <c:v>49984.49</c:v>
                </c:pt>
                <c:pt idx="1">
                  <c:v>57500.82</c:v>
                </c:pt>
                <c:pt idx="2">
                  <c:v>70700.75</c:v>
                </c:pt>
                <c:pt idx="3">
                  <c:v>83417.90999999999</c:v>
                </c:pt>
              </c:numCache>
            </c:numRef>
          </c:val>
          <c:extLst xmlns:c16r2="http://schemas.microsoft.com/office/drawing/2015/06/chart">
            <c:ext xmlns:c16="http://schemas.microsoft.com/office/drawing/2014/chart" uri="{C3380CC4-5D6E-409C-BE32-E72D297353CC}">
              <c16:uniqueId val="{00000000-EBD1-4C81-B81D-B4E73F15880A}"/>
            </c:ext>
          </c:extLst>
        </c:ser>
        <c:ser>
          <c:idx val="1"/>
          <c:order val="1"/>
          <c:tx>
            <c:strRef>
              <c:f>Hoja1!$C$1</c:f>
              <c:strCache>
                <c:ptCount val="1"/>
                <c:pt idx="0">
                  <c:v>Honduras</c:v>
                </c:pt>
              </c:strCache>
            </c:strRef>
          </c:tx>
          <c:spPr>
            <a:gradFill>
              <a:gsLst>
                <a:gs pos="0">
                  <a:srgbClr val="008080"/>
                </a:gs>
                <a:gs pos="50000">
                  <a:srgbClr val="00A4A0"/>
                </a:gs>
                <a:gs pos="100000">
                  <a:srgbClr val="008080"/>
                </a:gs>
              </a:gsLst>
              <a:lin ang="5400000" scaled="0"/>
            </a:gradFill>
            <a:ln>
              <a:noFill/>
            </a:ln>
            <a:effectLst/>
          </c:spPr>
          <c:invertIfNegative val="0"/>
          <c:dLbls>
            <c:dLbl>
              <c:idx val="0"/>
              <c:layout>
                <c:manualLayout>
                  <c:x val="0.0"/>
                  <c:y val="-0.012914948131483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BD1-4C81-B81D-B4E73F15880A}"/>
                </c:ext>
                <c:ext xmlns:c15="http://schemas.microsoft.com/office/drawing/2012/chart" uri="{CE6537A1-D6FC-4f65-9D91-7224C49458BB}"/>
              </c:extLst>
            </c:dLbl>
            <c:dLbl>
              <c:idx val="1"/>
              <c:layout>
                <c:manualLayout>
                  <c:x val="0.0"/>
                  <c:y val="-0.0089466941632296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BD1-4C81-B81D-B4E73F15880A}"/>
                </c:ext>
                <c:ext xmlns:c15="http://schemas.microsoft.com/office/drawing/2012/chart" uri="{CE6537A1-D6FC-4f65-9D91-7224C49458BB}"/>
              </c:extLst>
            </c:dLbl>
            <c:dLbl>
              <c:idx val="2"/>
              <c:layout>
                <c:manualLayout>
                  <c:x val="0.0"/>
                  <c:y val="-0.0089466941632296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BD1-4C81-B81D-B4E73F15880A}"/>
                </c:ext>
                <c:ext xmlns:c15="http://schemas.microsoft.com/office/drawing/2012/chart" uri="{CE6537A1-D6FC-4f65-9D91-7224C49458BB}"/>
              </c:extLst>
            </c:dLbl>
            <c:dLbl>
              <c:idx val="3"/>
              <c:layout>
                <c:manualLayout>
                  <c:x val="0.0"/>
                  <c:y val="-0.006277652793400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BD1-4C81-B81D-B4E73F15880A}"/>
                </c:ext>
                <c:ext xmlns:c15="http://schemas.microsoft.com/office/drawing/2012/chart" uri="{CE6537A1-D6FC-4f65-9D91-7224C49458BB}"/>
              </c:extLst>
            </c:dLbl>
            <c:numFmt formatCode="&quot;$&quot;#,##0.00" sourceLinked="0"/>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Hoja1!$A$2:$A$5</c:f>
              <c:numCache>
                <c:formatCode>General</c:formatCode>
                <c:ptCount val="4"/>
                <c:pt idx="0">
                  <c:v>2014.0</c:v>
                </c:pt>
                <c:pt idx="1">
                  <c:v>2015.0</c:v>
                </c:pt>
                <c:pt idx="2">
                  <c:v>2016.0</c:v>
                </c:pt>
                <c:pt idx="3">
                  <c:v>2017.0</c:v>
                </c:pt>
              </c:numCache>
            </c:numRef>
          </c:cat>
          <c:val>
            <c:numRef>
              <c:f>Hoja1!$C$2:$C$5</c:f>
              <c:numCache>
                <c:formatCode>#,##0.00</c:formatCode>
                <c:ptCount val="4"/>
                <c:pt idx="0">
                  <c:v>3895.68</c:v>
                </c:pt>
                <c:pt idx="1">
                  <c:v>3895.68</c:v>
                </c:pt>
                <c:pt idx="2">
                  <c:v>3895.68</c:v>
                </c:pt>
                <c:pt idx="3">
                  <c:v>4284.12</c:v>
                </c:pt>
              </c:numCache>
            </c:numRef>
          </c:val>
          <c:extLst xmlns:c16r2="http://schemas.microsoft.com/office/drawing/2015/06/chart">
            <c:ext xmlns:c16="http://schemas.microsoft.com/office/drawing/2014/chart" uri="{C3380CC4-5D6E-409C-BE32-E72D297353CC}">
              <c16:uniqueId val="{00000005-EBD1-4C81-B81D-B4E73F15880A}"/>
            </c:ext>
          </c:extLst>
        </c:ser>
        <c:dLbls>
          <c:showLegendKey val="0"/>
          <c:showVal val="0"/>
          <c:showCatName val="0"/>
          <c:showSerName val="0"/>
          <c:showPercent val="0"/>
          <c:showBubbleSize val="0"/>
        </c:dLbls>
        <c:gapWidth val="219"/>
        <c:overlap val="-27"/>
        <c:axId val="2120421232"/>
        <c:axId val="2122475200"/>
      </c:barChart>
      <c:catAx>
        <c:axId val="212042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2475200"/>
        <c:crosses val="autoZero"/>
        <c:auto val="1"/>
        <c:lblAlgn val="ctr"/>
        <c:lblOffset val="100"/>
        <c:noMultiLvlLbl val="0"/>
      </c:catAx>
      <c:valAx>
        <c:axId val="2122475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0421232"/>
        <c:crosses val="autoZero"/>
        <c:crossBetween val="between"/>
      </c:valAx>
      <c:spPr>
        <a:noFill/>
        <a:ln>
          <a:noFill/>
        </a:ln>
        <a:effectLst/>
      </c:spPr>
    </c:plotArea>
    <c:legend>
      <c:legendPos val="b"/>
      <c:layout>
        <c:manualLayout>
          <c:xMode val="edge"/>
          <c:yMode val="edge"/>
          <c:x val="0.384328885972587"/>
          <c:y val="0.837797150356206"/>
          <c:w val="0.231342228054826"/>
          <c:h val="0.06696475440569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HN" b="1"/>
              <a:t>TASA DE INFLACIÓN</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95102252843395"/>
          <c:y val="0.139246031746032"/>
          <c:w val="0.779434784193642"/>
          <c:h val="0.618399262592176"/>
        </c:manualLayout>
      </c:layout>
      <c:barChart>
        <c:barDir val="col"/>
        <c:grouping val="clustered"/>
        <c:varyColors val="0"/>
        <c:ser>
          <c:idx val="0"/>
          <c:order val="0"/>
          <c:tx>
            <c:strRef>
              <c:f>Hoja1!$B$1</c:f>
              <c:strCache>
                <c:ptCount val="1"/>
                <c:pt idx="0">
                  <c:v>Islandia</c:v>
                </c:pt>
              </c:strCache>
            </c:strRef>
          </c:tx>
          <c:spPr>
            <a:gradFill>
              <a:gsLst>
                <a:gs pos="0">
                  <a:srgbClr val="CC5300"/>
                </a:gs>
                <a:gs pos="50000">
                  <a:srgbClr val="FF6600"/>
                </a:gs>
                <a:gs pos="100000">
                  <a:srgbClr val="CC5300"/>
                </a:gs>
              </a:gsLst>
              <a:lin ang="5400000" scaled="0"/>
            </a:gradFill>
            <a:ln>
              <a:noFill/>
            </a:ln>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Hoja1!$A$2:$A$6</c:f>
              <c:numCache>
                <c:formatCode>General</c:formatCode>
                <c:ptCount val="5"/>
                <c:pt idx="0">
                  <c:v>2014.0</c:v>
                </c:pt>
                <c:pt idx="1">
                  <c:v>2015.0</c:v>
                </c:pt>
                <c:pt idx="2">
                  <c:v>2016.0</c:v>
                </c:pt>
                <c:pt idx="3">
                  <c:v>2017.0</c:v>
                </c:pt>
                <c:pt idx="4">
                  <c:v>2018.0</c:v>
                </c:pt>
              </c:numCache>
            </c:numRef>
          </c:cat>
          <c:val>
            <c:numRef>
              <c:f>Hoja1!$B$2:$B$6</c:f>
              <c:numCache>
                <c:formatCode>#,##0.00</c:formatCode>
                <c:ptCount val="5"/>
                <c:pt idx="0">
                  <c:v>0.83</c:v>
                </c:pt>
                <c:pt idx="1">
                  <c:v>2.01</c:v>
                </c:pt>
                <c:pt idx="2">
                  <c:v>1.89</c:v>
                </c:pt>
                <c:pt idx="3">
                  <c:v>1.87</c:v>
                </c:pt>
                <c:pt idx="4" formatCode="General">
                  <c:v>3.74</c:v>
                </c:pt>
              </c:numCache>
            </c:numRef>
          </c:val>
          <c:extLst xmlns:c16r2="http://schemas.microsoft.com/office/drawing/2015/06/chart">
            <c:ext xmlns:c16="http://schemas.microsoft.com/office/drawing/2014/chart" uri="{C3380CC4-5D6E-409C-BE32-E72D297353CC}">
              <c16:uniqueId val="{00000000-997F-47A9-ABF1-0DFAE1FFC7E5}"/>
            </c:ext>
          </c:extLst>
        </c:ser>
        <c:ser>
          <c:idx val="1"/>
          <c:order val="1"/>
          <c:tx>
            <c:strRef>
              <c:f>Hoja1!$C$1</c:f>
              <c:strCache>
                <c:ptCount val="1"/>
                <c:pt idx="0">
                  <c:v>Honduras</c:v>
                </c:pt>
              </c:strCache>
            </c:strRef>
          </c:tx>
          <c:spPr>
            <a:gradFill>
              <a:gsLst>
                <a:gs pos="0">
                  <a:srgbClr val="008080"/>
                </a:gs>
                <a:gs pos="50000">
                  <a:srgbClr val="00A4A0"/>
                </a:gs>
                <a:gs pos="100000">
                  <a:srgbClr val="008080"/>
                </a:gs>
              </a:gsLst>
              <a:lin ang="5400000" scaled="0"/>
            </a:gradFill>
            <a:ln>
              <a:noFill/>
            </a:ln>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Hoja1!$A$2:$A$6</c:f>
              <c:numCache>
                <c:formatCode>General</c:formatCode>
                <c:ptCount val="5"/>
                <c:pt idx="0">
                  <c:v>2014.0</c:v>
                </c:pt>
                <c:pt idx="1">
                  <c:v>2015.0</c:v>
                </c:pt>
                <c:pt idx="2">
                  <c:v>2016.0</c:v>
                </c:pt>
                <c:pt idx="3">
                  <c:v>2017.0</c:v>
                </c:pt>
                <c:pt idx="4">
                  <c:v>2018.0</c:v>
                </c:pt>
              </c:numCache>
            </c:numRef>
          </c:cat>
          <c:val>
            <c:numRef>
              <c:f>Hoja1!$C$2:$C$6</c:f>
              <c:numCache>
                <c:formatCode>#,##0.00</c:formatCode>
                <c:ptCount val="5"/>
                <c:pt idx="0">
                  <c:v>5.819999999999998</c:v>
                </c:pt>
                <c:pt idx="1">
                  <c:v>2.36</c:v>
                </c:pt>
                <c:pt idx="2">
                  <c:v>3.31</c:v>
                </c:pt>
                <c:pt idx="3">
                  <c:v>4.73</c:v>
                </c:pt>
                <c:pt idx="4" formatCode="General">
                  <c:v>4.22</c:v>
                </c:pt>
              </c:numCache>
            </c:numRef>
          </c:val>
          <c:extLst xmlns:c16r2="http://schemas.microsoft.com/office/drawing/2015/06/chart">
            <c:ext xmlns:c16="http://schemas.microsoft.com/office/drawing/2014/chart" uri="{C3380CC4-5D6E-409C-BE32-E72D297353CC}">
              <c16:uniqueId val="{00000001-997F-47A9-ABF1-0DFAE1FFC7E5}"/>
            </c:ext>
          </c:extLst>
        </c:ser>
        <c:dLbls>
          <c:showLegendKey val="0"/>
          <c:showVal val="0"/>
          <c:showCatName val="0"/>
          <c:showSerName val="0"/>
          <c:showPercent val="0"/>
          <c:showBubbleSize val="0"/>
        </c:dLbls>
        <c:gapWidth val="219"/>
        <c:overlap val="-27"/>
        <c:axId val="2085216592"/>
        <c:axId val="2084995600"/>
      </c:barChart>
      <c:catAx>
        <c:axId val="208521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084995600"/>
        <c:crosses val="autoZero"/>
        <c:auto val="1"/>
        <c:lblAlgn val="ctr"/>
        <c:lblOffset val="100"/>
        <c:noMultiLvlLbl val="0"/>
      </c:catAx>
      <c:valAx>
        <c:axId val="20849956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085216592"/>
        <c:crosses val="autoZero"/>
        <c:crossBetween val="between"/>
      </c:valAx>
      <c:spPr>
        <a:noFill/>
        <a:ln>
          <a:noFill/>
        </a:ln>
        <a:effectLst/>
      </c:spPr>
    </c:plotArea>
    <c:legend>
      <c:legendPos val="b"/>
      <c:layout>
        <c:manualLayout>
          <c:xMode val="edge"/>
          <c:yMode val="edge"/>
          <c:x val="0.384328885972587"/>
          <c:y val="0.837797150356206"/>
          <c:w val="0.231342228054826"/>
          <c:h val="0.06696475440569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ÍNDICE DE DESARROLLO HUMANO</a:t>
            </a:r>
          </a:p>
        </c:rich>
      </c:tx>
      <c:layout>
        <c:manualLayout>
          <c:xMode val="edge"/>
          <c:yMode val="edge"/>
          <c:x val="0.246298856106484"/>
          <c:y val="0.0396825396825397"/>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18713363954506"/>
          <c:y val="0.14718253968254"/>
          <c:w val="0.855823673082532"/>
          <c:h val="0.646177040369954"/>
        </c:manualLayout>
      </c:layout>
      <c:barChart>
        <c:barDir val="col"/>
        <c:grouping val="clustered"/>
        <c:varyColors val="0"/>
        <c:ser>
          <c:idx val="0"/>
          <c:order val="0"/>
          <c:tx>
            <c:strRef>
              <c:f>Hoja1!$B$1</c:f>
              <c:strCache>
                <c:ptCount val="1"/>
                <c:pt idx="0">
                  <c:v>Islandia</c:v>
                </c:pt>
              </c:strCache>
            </c:strRef>
          </c:tx>
          <c:spPr>
            <a:gradFill>
              <a:gsLst>
                <a:gs pos="0">
                  <a:srgbClr val="CC5300"/>
                </a:gs>
                <a:gs pos="50000">
                  <a:srgbClr val="FF6600"/>
                </a:gs>
                <a:gs pos="100000">
                  <a:srgbClr val="CC5300"/>
                </a:gs>
              </a:gsLst>
              <a:lin ang="5400000" scaled="0"/>
            </a:gradFill>
            <a:ln>
              <a:noFill/>
            </a:ln>
            <a:effectLst>
              <a:outerShdw blurRad="57150" dist="19050" dir="5400000" algn="ctr" rotWithShape="0">
                <a:srgbClr val="000000">
                  <a:alpha val="63000"/>
                </a:srgbClr>
              </a:outerShdw>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c:f>
              <c:numCache>
                <c:formatCode>General</c:formatCode>
                <c:ptCount val="7"/>
                <c:pt idx="0">
                  <c:v>2012.0</c:v>
                </c:pt>
                <c:pt idx="1">
                  <c:v>2013.0</c:v>
                </c:pt>
                <c:pt idx="2">
                  <c:v>2014.0</c:v>
                </c:pt>
                <c:pt idx="3">
                  <c:v>2015.0</c:v>
                </c:pt>
                <c:pt idx="4">
                  <c:v>2016.0</c:v>
                </c:pt>
                <c:pt idx="5">
                  <c:v>2017.0</c:v>
                </c:pt>
              </c:numCache>
            </c:numRef>
          </c:cat>
          <c:val>
            <c:numRef>
              <c:f>Hoja1!$B$2:$B$8</c:f>
              <c:numCache>
                <c:formatCode>General</c:formatCode>
                <c:ptCount val="7"/>
                <c:pt idx="0">
                  <c:v>0.91</c:v>
                </c:pt>
                <c:pt idx="1">
                  <c:v>0.92</c:v>
                </c:pt>
                <c:pt idx="2">
                  <c:v>0.92</c:v>
                </c:pt>
                <c:pt idx="3">
                  <c:v>0.93</c:v>
                </c:pt>
                <c:pt idx="4">
                  <c:v>0.93</c:v>
                </c:pt>
                <c:pt idx="5">
                  <c:v>0.93</c:v>
                </c:pt>
              </c:numCache>
            </c:numRef>
          </c:val>
          <c:extLst xmlns:c16r2="http://schemas.microsoft.com/office/drawing/2015/06/chart">
            <c:ext xmlns:c16="http://schemas.microsoft.com/office/drawing/2014/chart" uri="{C3380CC4-5D6E-409C-BE32-E72D297353CC}">
              <c16:uniqueId val="{00000000-FA9D-4812-A770-AB4A19DFA600}"/>
            </c:ext>
          </c:extLst>
        </c:ser>
        <c:ser>
          <c:idx val="1"/>
          <c:order val="1"/>
          <c:tx>
            <c:strRef>
              <c:f>Hoja1!$C$1</c:f>
              <c:strCache>
                <c:ptCount val="1"/>
                <c:pt idx="0">
                  <c:v>Honduras</c:v>
                </c:pt>
              </c:strCache>
            </c:strRef>
          </c:tx>
          <c:spPr>
            <a:gradFill>
              <a:gsLst>
                <a:gs pos="0">
                  <a:srgbClr val="008080"/>
                </a:gs>
                <a:gs pos="50000">
                  <a:srgbClr val="00A4A0"/>
                </a:gs>
                <a:gs pos="100000">
                  <a:srgbClr val="008080"/>
                </a:gs>
              </a:gsLst>
              <a:lin ang="5400000" scaled="0"/>
            </a:gradFill>
            <a:ln>
              <a:noFill/>
            </a:ln>
            <a:effectLst/>
          </c:spPr>
          <c:invertIfNegative val="0"/>
          <c:dLbls>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Hoja1!$A$2:$A$8</c:f>
              <c:numCache>
                <c:formatCode>General</c:formatCode>
                <c:ptCount val="7"/>
                <c:pt idx="0">
                  <c:v>2012.0</c:v>
                </c:pt>
                <c:pt idx="1">
                  <c:v>2013.0</c:v>
                </c:pt>
                <c:pt idx="2">
                  <c:v>2014.0</c:v>
                </c:pt>
                <c:pt idx="3">
                  <c:v>2015.0</c:v>
                </c:pt>
                <c:pt idx="4">
                  <c:v>2016.0</c:v>
                </c:pt>
                <c:pt idx="5">
                  <c:v>2017.0</c:v>
                </c:pt>
              </c:numCache>
            </c:numRef>
          </c:cat>
          <c:val>
            <c:numRef>
              <c:f>Hoja1!$C$2:$C$8</c:f>
              <c:numCache>
                <c:formatCode>General</c:formatCode>
                <c:ptCount val="7"/>
                <c:pt idx="0">
                  <c:v>0.59</c:v>
                </c:pt>
                <c:pt idx="1">
                  <c:v>0.6</c:v>
                </c:pt>
                <c:pt idx="2">
                  <c:v>0.6</c:v>
                </c:pt>
                <c:pt idx="3">
                  <c:v>0.61</c:v>
                </c:pt>
                <c:pt idx="4">
                  <c:v>0.61</c:v>
                </c:pt>
                <c:pt idx="5">
                  <c:v>0.62</c:v>
                </c:pt>
              </c:numCache>
            </c:numRef>
          </c:val>
          <c:extLst xmlns:c16r2="http://schemas.microsoft.com/office/drawing/2015/06/chart">
            <c:ext xmlns:c16="http://schemas.microsoft.com/office/drawing/2014/chart" uri="{C3380CC4-5D6E-409C-BE32-E72D297353CC}">
              <c16:uniqueId val="{00000001-FA9D-4812-A770-AB4A19DFA600}"/>
            </c:ext>
          </c:extLst>
        </c:ser>
        <c:dLbls>
          <c:dLblPos val="inEnd"/>
          <c:showLegendKey val="0"/>
          <c:showVal val="1"/>
          <c:showCatName val="0"/>
          <c:showSerName val="0"/>
          <c:showPercent val="0"/>
          <c:showBubbleSize val="0"/>
        </c:dLbls>
        <c:gapWidth val="219"/>
        <c:overlap val="-27"/>
        <c:axId val="2122444000"/>
        <c:axId val="2123313456"/>
      </c:barChart>
      <c:catAx>
        <c:axId val="212244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3313456"/>
        <c:crosses val="autoZero"/>
        <c:auto val="1"/>
        <c:lblAlgn val="ctr"/>
        <c:lblOffset val="100"/>
        <c:noMultiLvlLbl val="0"/>
      </c:catAx>
      <c:valAx>
        <c:axId val="212331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2444000"/>
        <c:crosses val="autoZero"/>
        <c:crossBetween val="between"/>
      </c:valAx>
      <c:spPr>
        <a:noFill/>
        <a:ln>
          <a:noFill/>
        </a:ln>
        <a:effectLst/>
      </c:spPr>
    </c:plotArea>
    <c:legend>
      <c:legendPos val="b"/>
      <c:layout>
        <c:manualLayout>
          <c:xMode val="edge"/>
          <c:yMode val="edge"/>
          <c:x val="0.368493000874891"/>
          <c:y val="0.861606674165729"/>
          <c:w val="0.231342228054826"/>
          <c:h val="0.06696475440569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x-none" b="1"/>
              <a:t>PRODUCTO INTERNO BRUTO (2014-2018)</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17909955756549"/>
          <c:y val="0.122073418500082"/>
          <c:w val="0.843961561831247"/>
          <c:h val="0.66672057121892"/>
        </c:manualLayout>
      </c:layout>
      <c:barChart>
        <c:barDir val="col"/>
        <c:grouping val="clustered"/>
        <c:varyColors val="0"/>
        <c:ser>
          <c:idx val="0"/>
          <c:order val="0"/>
          <c:tx>
            <c:strRef>
              <c:f>Sheet1!$B$1</c:f>
              <c:strCache>
                <c:ptCount val="1"/>
                <c:pt idx="0">
                  <c:v>Honduras</c:v>
                </c:pt>
              </c:strCache>
            </c:strRef>
          </c:tx>
          <c:spPr>
            <a:solidFill>
              <a:schemeClr val="accent1"/>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2014.0</c:v>
                </c:pt>
                <c:pt idx="1">
                  <c:v>2015.0</c:v>
                </c:pt>
                <c:pt idx="2">
                  <c:v>2016.0</c:v>
                </c:pt>
                <c:pt idx="3">
                  <c:v>2017.0</c:v>
                </c:pt>
                <c:pt idx="4">
                  <c:v>2018.0</c:v>
                </c:pt>
              </c:numCache>
            </c:numRef>
          </c:cat>
          <c:val>
            <c:numRef>
              <c:f>Sheet1!$B$2:$B$6</c:f>
              <c:numCache>
                <c:formatCode>General</c:formatCode>
                <c:ptCount val="5"/>
                <c:pt idx="0">
                  <c:v>19.76</c:v>
                </c:pt>
                <c:pt idx="1">
                  <c:v>20.98</c:v>
                </c:pt>
                <c:pt idx="2">
                  <c:v>21.64</c:v>
                </c:pt>
                <c:pt idx="3">
                  <c:v>22.98</c:v>
                </c:pt>
                <c:pt idx="4">
                  <c:v>23.84</c:v>
                </c:pt>
              </c:numCache>
            </c:numRef>
          </c:val>
          <c:extLst xmlns:c16r2="http://schemas.microsoft.com/office/drawing/2015/06/chart">
            <c:ext xmlns:c16="http://schemas.microsoft.com/office/drawing/2014/chart" uri="{C3380CC4-5D6E-409C-BE32-E72D297353CC}">
              <c16:uniqueId val="{00000000-E1EE-4A18-B6ED-F380C6202A13}"/>
            </c:ext>
          </c:extLst>
        </c:ser>
        <c:ser>
          <c:idx val="1"/>
          <c:order val="1"/>
          <c:tx>
            <c:strRef>
              <c:f>Sheet1!$C$1</c:f>
              <c:strCache>
                <c:ptCount val="1"/>
                <c:pt idx="0">
                  <c:v>Dinamarca</c:v>
                </c:pt>
              </c:strCache>
            </c:strRef>
          </c:tx>
          <c:spPr>
            <a:solidFill>
              <a:schemeClr val="accent2"/>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2014.0</c:v>
                </c:pt>
                <c:pt idx="1">
                  <c:v>2015.0</c:v>
                </c:pt>
                <c:pt idx="2">
                  <c:v>2016.0</c:v>
                </c:pt>
                <c:pt idx="3">
                  <c:v>2017.0</c:v>
                </c:pt>
                <c:pt idx="4">
                  <c:v>2018.0</c:v>
                </c:pt>
              </c:numCache>
            </c:numRef>
          </c:cat>
          <c:val>
            <c:numRef>
              <c:f>Sheet1!$C$2:$C$6</c:f>
              <c:numCache>
                <c:formatCode>General</c:formatCode>
                <c:ptCount val="5"/>
                <c:pt idx="0">
                  <c:v>352.99</c:v>
                </c:pt>
                <c:pt idx="1">
                  <c:v>301.3</c:v>
                </c:pt>
                <c:pt idx="2">
                  <c:v>306.8999999999999</c:v>
                </c:pt>
                <c:pt idx="3">
                  <c:v>325.56</c:v>
                </c:pt>
                <c:pt idx="4">
                  <c:v>354.68</c:v>
                </c:pt>
              </c:numCache>
            </c:numRef>
          </c:val>
          <c:extLst xmlns:c16r2="http://schemas.microsoft.com/office/drawing/2015/06/chart">
            <c:ext xmlns:c16="http://schemas.microsoft.com/office/drawing/2014/chart" uri="{C3380CC4-5D6E-409C-BE32-E72D297353CC}">
              <c16:uniqueId val="{00000001-E1EE-4A18-B6ED-F380C6202A13}"/>
            </c:ext>
          </c:extLst>
        </c:ser>
        <c:dLbls>
          <c:dLblPos val="inEnd"/>
          <c:showLegendKey val="0"/>
          <c:showVal val="1"/>
          <c:showCatName val="0"/>
          <c:showSerName val="0"/>
          <c:showPercent val="0"/>
          <c:showBubbleSize val="0"/>
        </c:dLbls>
        <c:gapWidth val="219"/>
        <c:overlap val="-27"/>
        <c:axId val="-2135786032"/>
        <c:axId val="2085333888"/>
      </c:barChart>
      <c:catAx>
        <c:axId val="-213578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085333888"/>
        <c:crosses val="autoZero"/>
        <c:auto val="1"/>
        <c:lblAlgn val="ctr"/>
        <c:lblOffset val="100"/>
        <c:noMultiLvlLbl val="0"/>
      </c:catAx>
      <c:valAx>
        <c:axId val="20853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000"/>
                  <a:t>Billones de dólares</a:t>
                </a:r>
              </a:p>
            </c:rich>
          </c:tx>
          <c:layout>
            <c:manualLayout>
              <c:xMode val="edge"/>
              <c:yMode val="edge"/>
              <c:x val="0.0147594585300055"/>
              <c:y val="0.28471627666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35786032"/>
        <c:crosses val="autoZero"/>
        <c:crossBetween val="between"/>
      </c:valAx>
      <c:spPr>
        <a:noFill/>
        <a:ln>
          <a:noFill/>
        </a:ln>
        <a:effectLst/>
      </c:spPr>
    </c:plotArea>
    <c:legend>
      <c:legendPos val="b"/>
      <c:layout>
        <c:manualLayout>
          <c:xMode val="edge"/>
          <c:yMode val="edge"/>
          <c:x val="0.374538722374571"/>
          <c:y val="0.8499449665566"/>
          <c:w val="0.269026198609084"/>
          <c:h val="0.06761775745773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400" b="1"/>
              <a:t>PRODUCTO INTERNO BRUTO PER CÁPITA</a:t>
            </a:r>
          </a:p>
        </c:rich>
      </c:tx>
      <c:layout>
        <c:manualLayout>
          <c:xMode val="edge"/>
          <c:yMode val="edge"/>
          <c:x val="0.205342000274406"/>
          <c:y val="0.0398928705340404"/>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39682437862273"/>
          <c:y val="0.157282730684663"/>
          <c:w val="0.829552772298575"/>
          <c:h val="0.617675443630771"/>
        </c:manualLayout>
      </c:layout>
      <c:barChart>
        <c:barDir val="col"/>
        <c:grouping val="clustered"/>
        <c:varyColors val="0"/>
        <c:ser>
          <c:idx val="0"/>
          <c:order val="0"/>
          <c:tx>
            <c:strRef>
              <c:f>Sheet1!$B$1</c:f>
              <c:strCache>
                <c:ptCount val="1"/>
                <c:pt idx="0">
                  <c:v>Honduras</c:v>
                </c:pt>
              </c:strCache>
            </c:strRef>
          </c:tx>
          <c:spPr>
            <a:solidFill>
              <a:schemeClr val="accent1"/>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Sheet1!$B$2:$B$5</c:f>
              <c:numCache>
                <c:formatCode>General</c:formatCode>
                <c:ptCount val="4"/>
                <c:pt idx="0">
                  <c:v>2.48</c:v>
                </c:pt>
                <c:pt idx="1">
                  <c:v>2.6</c:v>
                </c:pt>
                <c:pt idx="2">
                  <c:v>2.64</c:v>
                </c:pt>
                <c:pt idx="3">
                  <c:v>2.766</c:v>
                </c:pt>
              </c:numCache>
            </c:numRef>
          </c:val>
          <c:extLst xmlns:c16r2="http://schemas.microsoft.com/office/drawing/2015/06/chart">
            <c:ext xmlns:c16="http://schemas.microsoft.com/office/drawing/2014/chart" uri="{C3380CC4-5D6E-409C-BE32-E72D297353CC}">
              <c16:uniqueId val="{00000000-0F6A-4451-8400-98DE33E2C460}"/>
            </c:ext>
          </c:extLst>
        </c:ser>
        <c:ser>
          <c:idx val="1"/>
          <c:order val="1"/>
          <c:tx>
            <c:strRef>
              <c:f>Sheet1!$C$1</c:f>
              <c:strCache>
                <c:ptCount val="1"/>
                <c:pt idx="0">
                  <c:v>Dinamarca</c:v>
                </c:pt>
              </c:strCache>
            </c:strRef>
          </c:tx>
          <c:spPr>
            <a:solidFill>
              <a:schemeClr val="accent2"/>
            </a:solidFill>
            <a:ln>
              <a:noFill/>
            </a:ln>
            <a:effectLst/>
          </c:spPr>
          <c:invertIfNegative val="0"/>
          <c:dLbls>
            <c:spPr>
              <a:solidFill>
                <a:schemeClr val="bg1"/>
              </a:solid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Sheet1!$C$2:$C$5</c:f>
              <c:numCache>
                <c:formatCode>General</c:formatCode>
                <c:ptCount val="4"/>
                <c:pt idx="0">
                  <c:v>62.72900000000001</c:v>
                </c:pt>
                <c:pt idx="1">
                  <c:v>53.23600000000001</c:v>
                </c:pt>
                <c:pt idx="2">
                  <c:v>53.774</c:v>
                </c:pt>
                <c:pt idx="3">
                  <c:v>56.631</c:v>
                </c:pt>
              </c:numCache>
            </c:numRef>
          </c:val>
          <c:extLst xmlns:c16r2="http://schemas.microsoft.com/office/drawing/2015/06/chart">
            <c:ext xmlns:c16="http://schemas.microsoft.com/office/drawing/2014/chart" uri="{C3380CC4-5D6E-409C-BE32-E72D297353CC}">
              <c16:uniqueId val="{00000001-0F6A-4451-8400-98DE33E2C460}"/>
            </c:ext>
          </c:extLst>
        </c:ser>
        <c:dLbls>
          <c:dLblPos val="outEnd"/>
          <c:showLegendKey val="0"/>
          <c:showVal val="1"/>
          <c:showCatName val="0"/>
          <c:showSerName val="0"/>
          <c:showPercent val="0"/>
          <c:showBubbleSize val="0"/>
        </c:dLbls>
        <c:gapWidth val="219"/>
        <c:overlap val="-27"/>
        <c:axId val="2122553808"/>
        <c:axId val="-2144477104"/>
      </c:barChart>
      <c:catAx>
        <c:axId val="212255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44477104"/>
        <c:crosses val="autoZero"/>
        <c:auto val="1"/>
        <c:lblAlgn val="ctr"/>
        <c:lblOffset val="100"/>
        <c:noMultiLvlLbl val="0"/>
      </c:catAx>
      <c:valAx>
        <c:axId val="-214447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200"/>
                  <a:t>Miles de dólares</a:t>
                </a:r>
              </a:p>
            </c:rich>
          </c:tx>
          <c:layout>
            <c:manualLayout>
              <c:xMode val="edge"/>
              <c:yMode val="edge"/>
              <c:x val="0.028201057352556"/>
              <c:y val="0.33391917847003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2553808"/>
        <c:crosses val="autoZero"/>
        <c:crossBetween val="between"/>
      </c:valAx>
      <c:spPr>
        <a:noFill/>
        <a:ln>
          <a:noFill/>
        </a:ln>
        <a:effectLst/>
      </c:spPr>
    </c:plotArea>
    <c:legend>
      <c:legendPos val="b"/>
      <c:layout>
        <c:manualLayout>
          <c:xMode val="edge"/>
          <c:yMode val="edge"/>
          <c:x val="0.374538722374571"/>
          <c:y val="0.856694443806769"/>
          <c:w val="0.250922555250858"/>
          <c:h val="0.06167290313200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400" b="1"/>
              <a:t>TASA DE DESEMPLEO (2014-2017)</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autoTitleDeleted val="0"/>
    <c:plotArea>
      <c:layout>
        <c:manualLayout>
          <c:layoutTarget val="inner"/>
          <c:xMode val="edge"/>
          <c:yMode val="edge"/>
          <c:x val="0.127051226539656"/>
          <c:y val="0.149455277080901"/>
          <c:w val="0.839923522797939"/>
          <c:h val="0.616726691772224"/>
        </c:manualLayout>
      </c:layout>
      <c:barChart>
        <c:barDir val="col"/>
        <c:grouping val="clustered"/>
        <c:varyColors val="0"/>
        <c:ser>
          <c:idx val="0"/>
          <c:order val="0"/>
          <c:tx>
            <c:strRef>
              <c:f>Sheet1!$B$1</c:f>
              <c:strCache>
                <c:ptCount val="1"/>
                <c:pt idx="0">
                  <c:v>Honduras</c:v>
                </c:pt>
              </c:strCache>
            </c:strRef>
          </c:tx>
          <c:spPr>
            <a:solidFill>
              <a:schemeClr val="accent1"/>
            </a:solidFill>
            <a:ln>
              <a:noFill/>
            </a:ln>
            <a:effectLst/>
          </c:spPr>
          <c:invertIfNegative val="0"/>
          <c:dLbls>
            <c:spPr>
              <a:no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Sheet1!$B$2:$B$5</c:f>
              <c:numCache>
                <c:formatCode>General</c:formatCode>
                <c:ptCount val="4"/>
                <c:pt idx="0">
                  <c:v>5.5</c:v>
                </c:pt>
                <c:pt idx="1">
                  <c:v>7.4</c:v>
                </c:pt>
                <c:pt idx="2">
                  <c:v>6.3</c:v>
                </c:pt>
                <c:pt idx="3">
                  <c:v>5.6</c:v>
                </c:pt>
              </c:numCache>
            </c:numRef>
          </c:val>
          <c:extLst xmlns:c16r2="http://schemas.microsoft.com/office/drawing/2015/06/chart">
            <c:ext xmlns:c16="http://schemas.microsoft.com/office/drawing/2014/chart" uri="{C3380CC4-5D6E-409C-BE32-E72D297353CC}">
              <c16:uniqueId val="{00000000-1B6E-4A69-9670-C6F59A7D20E0}"/>
            </c:ext>
          </c:extLst>
        </c:ser>
        <c:ser>
          <c:idx val="1"/>
          <c:order val="1"/>
          <c:tx>
            <c:strRef>
              <c:f>Sheet1!$C$1</c:f>
              <c:strCache>
                <c:ptCount val="1"/>
                <c:pt idx="0">
                  <c:v>Dinamarca</c:v>
                </c:pt>
              </c:strCache>
            </c:strRef>
          </c:tx>
          <c:spPr>
            <a:solidFill>
              <a:schemeClr val="accent2"/>
            </a:solidFill>
            <a:ln>
              <a:noFill/>
            </a:ln>
            <a:effectLst/>
          </c:spPr>
          <c:invertIfNegative val="0"/>
          <c:dLbls>
            <c:spPr>
              <a:noFill/>
              <a:ln>
                <a:solidFill>
                  <a:schemeClr val="accent2">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2014.0</c:v>
                </c:pt>
                <c:pt idx="1">
                  <c:v>2015.0</c:v>
                </c:pt>
                <c:pt idx="2">
                  <c:v>2016.0</c:v>
                </c:pt>
                <c:pt idx="3">
                  <c:v>2017.0</c:v>
                </c:pt>
              </c:numCache>
            </c:numRef>
          </c:cat>
          <c:val>
            <c:numRef>
              <c:f>Sheet1!$C$2:$C$5</c:f>
              <c:numCache>
                <c:formatCode>General</c:formatCode>
                <c:ptCount val="4"/>
                <c:pt idx="0">
                  <c:v>6.5</c:v>
                </c:pt>
                <c:pt idx="1">
                  <c:v>6.2</c:v>
                </c:pt>
                <c:pt idx="2">
                  <c:v>6.2</c:v>
                </c:pt>
                <c:pt idx="3">
                  <c:v>5.7</c:v>
                </c:pt>
              </c:numCache>
            </c:numRef>
          </c:val>
          <c:extLst xmlns:c16r2="http://schemas.microsoft.com/office/drawing/2015/06/chart">
            <c:ext xmlns:c16="http://schemas.microsoft.com/office/drawing/2014/chart" uri="{C3380CC4-5D6E-409C-BE32-E72D297353CC}">
              <c16:uniqueId val="{00000001-1B6E-4A69-9670-C6F59A7D20E0}"/>
            </c:ext>
          </c:extLst>
        </c:ser>
        <c:dLbls>
          <c:dLblPos val="outEnd"/>
          <c:showLegendKey val="0"/>
          <c:showVal val="1"/>
          <c:showCatName val="0"/>
          <c:showSerName val="0"/>
          <c:showPercent val="0"/>
          <c:showBubbleSize val="0"/>
        </c:dLbls>
        <c:gapWidth val="219"/>
        <c:overlap val="-27"/>
        <c:axId val="-2139805168"/>
        <c:axId val="2120712480"/>
      </c:barChart>
      <c:catAx>
        <c:axId val="-213980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20712480"/>
        <c:crosses val="autoZero"/>
        <c:auto val="1"/>
        <c:lblAlgn val="ctr"/>
        <c:lblOffset val="100"/>
        <c:noMultiLvlLbl val="0"/>
      </c:catAx>
      <c:valAx>
        <c:axId val="2120712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x-none" sz="1200"/>
                  <a:t>Porcentaje (%)</a:t>
                </a:r>
              </a:p>
            </c:rich>
          </c:tx>
          <c:layout>
            <c:manualLayout>
              <c:xMode val="edge"/>
              <c:yMode val="edge"/>
              <c:x val="0.0171730515191546"/>
              <c:y val="0.35526325166149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crossAx val="-2139805168"/>
        <c:crosses val="autoZero"/>
        <c:crossBetween val="between"/>
      </c:valAx>
      <c:spPr>
        <a:noFill/>
        <a:ln>
          <a:noFill/>
        </a:ln>
        <a:effectLst/>
      </c:spPr>
    </c:plotArea>
    <c:legend>
      <c:legendPos val="b"/>
      <c:layout>
        <c:manualLayout>
          <c:xMode val="edge"/>
          <c:yMode val="edge"/>
          <c:x val="0.333109710573347"/>
          <c:y val="0.84342226786869"/>
          <c:w val="0.333780400667839"/>
          <c:h val="0.080430876739776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ES_tradn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0.94061</cdr:y>
    </cdr:from>
    <cdr:to>
      <cdr:x>1</cdr:x>
      <cdr:y>1</cdr:y>
    </cdr:to>
    <cdr:sp macro="" textlink="">
      <cdr:nvSpPr>
        <cdr:cNvPr id="2" name="Cuadro de texto 1"/>
        <cdr:cNvSpPr txBox="1"/>
      </cdr:nvSpPr>
      <cdr:spPr>
        <a:xfrm xmlns:a="http://schemas.openxmlformats.org/drawingml/2006/main">
          <a:off x="0" y="3010329"/>
          <a:ext cx="5486400" cy="190071"/>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s-HN" sz="1200" b="1">
              <a:latin typeface="Times New Roman" panose="02020603050405020304" pitchFamily="18" charset="0"/>
              <a:cs typeface="Times New Roman" panose="02020603050405020304" pitchFamily="18" charset="0"/>
            </a:rPr>
            <a:t>Fuente:</a:t>
          </a:r>
          <a:r>
            <a:rPr lang="es-HN" sz="1200" b="1" baseline="0">
              <a:latin typeface="Times New Roman" panose="02020603050405020304" pitchFamily="18" charset="0"/>
              <a:cs typeface="Times New Roman" panose="02020603050405020304" pitchFamily="18" charset="0"/>
            </a:rPr>
            <a:t> Banco Mundial</a:t>
          </a:r>
          <a:endParaRPr lang="es-HN" sz="1200" b="1">
            <a:latin typeface="Times New Roman" panose="02020603050405020304" pitchFamily="18"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0.90852</cdr:y>
    </cdr:from>
    <cdr:to>
      <cdr:x>1</cdr:x>
      <cdr:y>1</cdr:y>
    </cdr:to>
    <cdr:sp macro="" textlink="">
      <cdr:nvSpPr>
        <cdr:cNvPr id="2" name="Text Box 1"/>
        <cdr:cNvSpPr txBox="1"/>
      </cdr:nvSpPr>
      <cdr:spPr>
        <a:xfrm xmlns:a="http://schemas.openxmlformats.org/drawingml/2006/main">
          <a:off x="0" y="2648010"/>
          <a:ext cx="5612130" cy="266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x-none" sz="1200" b="1">
              <a:latin typeface="Times New Roman" panose="02020603050405020304" pitchFamily="18" charset="0"/>
              <a:cs typeface="Times New Roman" panose="02020603050405020304" pitchFamily="18" charset="0"/>
            </a:rPr>
            <a:t>Fuente: Banco Mundial</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0.90338</cdr:y>
    </cdr:from>
    <cdr:to>
      <cdr:x>1</cdr:x>
      <cdr:y>0.98134</cdr:y>
    </cdr:to>
    <cdr:sp macro="" textlink="">
      <cdr:nvSpPr>
        <cdr:cNvPr id="2" name="Text Box 1"/>
        <cdr:cNvSpPr txBox="1"/>
      </cdr:nvSpPr>
      <cdr:spPr>
        <a:xfrm xmlns:a="http://schemas.openxmlformats.org/drawingml/2006/main">
          <a:off x="0" y="2822354"/>
          <a:ext cx="5612130" cy="2435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x-none" sz="1200" b="1">
              <a:latin typeface="Times New Roman" panose="02020603050405020304" pitchFamily="18" charset="0"/>
              <a:cs typeface="Times New Roman" panose="02020603050405020304" pitchFamily="18" charset="0"/>
            </a:rPr>
            <a:t>Fuente:</a:t>
          </a:r>
          <a:r>
            <a:rPr lang="x-none" sz="1200" b="1" baseline="0">
              <a:latin typeface="Times New Roman" panose="02020603050405020304" pitchFamily="18" charset="0"/>
              <a:cs typeface="Times New Roman" panose="02020603050405020304" pitchFamily="18" charset="0"/>
            </a:rPr>
            <a:t> Banco Mundial</a:t>
          </a:r>
          <a:endParaRPr lang="x-none" sz="1200" b="1">
            <a:latin typeface="Times New Roman" panose="02020603050405020304" pitchFamily="18" charset="0"/>
            <a:cs typeface="Times New Roman" panose="02020603050405020304"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0.90909</cdr:y>
    </cdr:from>
    <cdr:to>
      <cdr:x>1</cdr:x>
      <cdr:y>0.98534</cdr:y>
    </cdr:to>
    <cdr:sp macro="" textlink="">
      <cdr:nvSpPr>
        <cdr:cNvPr id="2" name="Text Box 1"/>
        <cdr:cNvSpPr txBox="1"/>
      </cdr:nvSpPr>
      <cdr:spPr>
        <a:xfrm xmlns:a="http://schemas.openxmlformats.org/drawingml/2006/main">
          <a:off x="0" y="2952750"/>
          <a:ext cx="561213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x-none" sz="1200" b="1">
              <a:latin typeface="Times New Roman" panose="02020603050405020304" pitchFamily="18" charset="0"/>
              <a:cs typeface="Times New Roman" panose="02020603050405020304" pitchFamily="18" charset="0"/>
            </a:rPr>
            <a:t>Fuente: Banco</a:t>
          </a:r>
          <a:r>
            <a:rPr lang="x-none" sz="1200" b="1" baseline="0">
              <a:latin typeface="Times New Roman" panose="02020603050405020304" pitchFamily="18" charset="0"/>
              <a:cs typeface="Times New Roman" panose="02020603050405020304" pitchFamily="18" charset="0"/>
            </a:rPr>
            <a:t> Mundial</a:t>
          </a:r>
          <a:endParaRPr lang="x-none" sz="12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0.94061</cdr:y>
    </cdr:from>
    <cdr:to>
      <cdr:x>1</cdr:x>
      <cdr:y>1</cdr:y>
    </cdr:to>
    <cdr:sp macro="" textlink="">
      <cdr:nvSpPr>
        <cdr:cNvPr id="2" name="Cuadro de texto 1"/>
        <cdr:cNvSpPr txBox="1"/>
      </cdr:nvSpPr>
      <cdr:spPr>
        <a:xfrm xmlns:a="http://schemas.openxmlformats.org/drawingml/2006/main">
          <a:off x="0" y="3010329"/>
          <a:ext cx="5486400" cy="190071"/>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s-HN" sz="1200" b="1">
              <a:latin typeface="Times New Roman" panose="02020603050405020304" pitchFamily="18" charset="0"/>
              <a:cs typeface="Times New Roman" panose="02020603050405020304" pitchFamily="18" charset="0"/>
            </a:rPr>
            <a:t>Fuente:</a:t>
          </a:r>
          <a:r>
            <a:rPr lang="es-HN" sz="1200" b="1" baseline="0">
              <a:latin typeface="Times New Roman" panose="02020603050405020304" pitchFamily="18" charset="0"/>
              <a:cs typeface="Times New Roman" panose="02020603050405020304" pitchFamily="18" charset="0"/>
            </a:rPr>
            <a:t> Banco Mundial</a:t>
          </a:r>
          <a:endParaRPr lang="es-HN" sz="1200" b="1">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0.90871</cdr:y>
    </cdr:from>
    <cdr:to>
      <cdr:x>1</cdr:x>
      <cdr:y>1</cdr:y>
    </cdr:to>
    <cdr:sp macro="" textlink="">
      <cdr:nvSpPr>
        <cdr:cNvPr id="2" name="Cuadro de texto 1"/>
        <cdr:cNvSpPr txBox="1"/>
      </cdr:nvSpPr>
      <cdr:spPr>
        <a:xfrm xmlns:a="http://schemas.openxmlformats.org/drawingml/2006/main">
          <a:off x="0" y="2085976"/>
          <a:ext cx="5572125" cy="209549"/>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s-HN" sz="1200" b="1">
              <a:latin typeface="Times New Roman" panose="02020603050405020304" pitchFamily="18" charset="0"/>
              <a:cs typeface="Times New Roman" panose="02020603050405020304" pitchFamily="18" charset="0"/>
            </a:rPr>
            <a:t>Fuentes:</a:t>
          </a:r>
          <a:r>
            <a:rPr lang="es-HN" sz="1200" b="1" baseline="0">
              <a:latin typeface="Times New Roman" panose="02020603050405020304" pitchFamily="18" charset="0"/>
              <a:cs typeface="Times New Roman" panose="02020603050405020304" pitchFamily="18" charset="0"/>
            </a:rPr>
            <a:t> Banco Mundial y Consejo Monetario Centroamericano</a:t>
          </a:r>
          <a:endParaRPr lang="es-HN" sz="1200" b="1">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0.94061</cdr:y>
    </cdr:from>
    <cdr:to>
      <cdr:x>1</cdr:x>
      <cdr:y>1</cdr:y>
    </cdr:to>
    <cdr:sp macro="" textlink="">
      <cdr:nvSpPr>
        <cdr:cNvPr id="2" name="Cuadro de texto 1"/>
        <cdr:cNvSpPr txBox="1"/>
      </cdr:nvSpPr>
      <cdr:spPr>
        <a:xfrm xmlns:a="http://schemas.openxmlformats.org/drawingml/2006/main">
          <a:off x="50800" y="3061128"/>
          <a:ext cx="5486400" cy="19007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r>
            <a:rPr lang="es-HN" sz="1200" b="1">
              <a:latin typeface="Times New Roman" panose="02020603050405020304" pitchFamily="18" charset="0"/>
              <a:cs typeface="Times New Roman" panose="02020603050405020304" pitchFamily="18" charset="0"/>
            </a:rPr>
            <a:t>Fuente:</a:t>
          </a:r>
          <a:r>
            <a:rPr lang="es-HN" sz="1200" b="1" baseline="0">
              <a:latin typeface="Times New Roman" panose="02020603050405020304" pitchFamily="18" charset="0"/>
              <a:cs typeface="Times New Roman" panose="02020603050405020304" pitchFamily="18" charset="0"/>
            </a:rPr>
            <a:t> Banco Central de Honduras</a:t>
          </a:r>
          <a:endParaRPr lang="es-HN" sz="1200" b="1">
            <a:latin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0.94061</cdr:y>
    </cdr:from>
    <cdr:to>
      <cdr:x>1</cdr:x>
      <cdr:y>1</cdr:y>
    </cdr:to>
    <cdr:sp macro="" textlink="">
      <cdr:nvSpPr>
        <cdr:cNvPr id="2" name="Cuadro de texto 1"/>
        <cdr:cNvSpPr txBox="1"/>
      </cdr:nvSpPr>
      <cdr:spPr>
        <a:xfrm xmlns:a="http://schemas.openxmlformats.org/drawingml/2006/main">
          <a:off x="50800" y="3061128"/>
          <a:ext cx="5486400" cy="19007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r>
            <a:rPr lang="es-HN" sz="1200" b="1">
              <a:latin typeface="Times New Roman" panose="02020603050405020304" pitchFamily="18" charset="0"/>
              <a:cs typeface="Times New Roman" panose="02020603050405020304" pitchFamily="18" charset="0"/>
            </a:rPr>
            <a:t>Fuente:</a:t>
          </a:r>
          <a:r>
            <a:rPr lang="es-HN" sz="1200" b="1" baseline="0">
              <a:latin typeface="Times New Roman" panose="02020603050405020304" pitchFamily="18" charset="0"/>
              <a:cs typeface="Times New Roman" panose="02020603050405020304" pitchFamily="18" charset="0"/>
            </a:rPr>
            <a:t> Banco Central de Honduras</a:t>
          </a:r>
          <a:endParaRPr lang="es-HN" sz="1200" b="1">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0.94061</cdr:y>
    </cdr:from>
    <cdr:to>
      <cdr:x>1</cdr:x>
      <cdr:y>1</cdr:y>
    </cdr:to>
    <cdr:sp macro="" textlink="">
      <cdr:nvSpPr>
        <cdr:cNvPr id="2" name="Cuadro de texto 1"/>
        <cdr:cNvSpPr txBox="1"/>
      </cdr:nvSpPr>
      <cdr:spPr>
        <a:xfrm xmlns:a="http://schemas.openxmlformats.org/drawingml/2006/main">
          <a:off x="0" y="3010329"/>
          <a:ext cx="5486400" cy="190071"/>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s-HN" sz="1200" b="1">
              <a:latin typeface="Times New Roman" panose="02020603050405020304" pitchFamily="18" charset="0"/>
              <a:cs typeface="Times New Roman" panose="02020603050405020304" pitchFamily="18" charset="0"/>
            </a:rPr>
            <a:t>Fuente:</a:t>
          </a:r>
          <a:r>
            <a:rPr lang="es-HN" sz="1200" b="1" baseline="0">
              <a:latin typeface="Times New Roman" panose="02020603050405020304" pitchFamily="18" charset="0"/>
              <a:cs typeface="Times New Roman" panose="02020603050405020304" pitchFamily="18" charset="0"/>
            </a:rPr>
            <a:t> Banco Mundial</a:t>
          </a:r>
          <a:endParaRPr lang="es-HN" sz="1200" b="1">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0.89483</cdr:y>
    </cdr:from>
    <cdr:to>
      <cdr:x>1</cdr:x>
      <cdr:y>0.93662</cdr:y>
    </cdr:to>
    <cdr:sp macro="" textlink="">
      <cdr:nvSpPr>
        <cdr:cNvPr id="2" name="Text Box 1"/>
        <cdr:cNvSpPr txBox="1"/>
      </cdr:nvSpPr>
      <cdr:spPr>
        <a:xfrm xmlns:a="http://schemas.openxmlformats.org/drawingml/2006/main">
          <a:off x="0" y="2420601"/>
          <a:ext cx="5612130" cy="1130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x-none" sz="1100"/>
        </a:p>
      </cdr:txBody>
    </cdr:sp>
  </cdr:relSizeAnchor>
  <cdr:relSizeAnchor xmlns:cdr="http://schemas.openxmlformats.org/drawingml/2006/chartDrawing">
    <cdr:from>
      <cdr:x>0</cdr:x>
      <cdr:y>0.90894</cdr:y>
    </cdr:from>
    <cdr:to>
      <cdr:x>1</cdr:x>
      <cdr:y>0.98239</cdr:y>
    </cdr:to>
    <cdr:sp macro="" textlink="">
      <cdr:nvSpPr>
        <cdr:cNvPr id="3" name="Text Box 2"/>
        <cdr:cNvSpPr txBox="1"/>
      </cdr:nvSpPr>
      <cdr:spPr>
        <a:xfrm xmlns:a="http://schemas.openxmlformats.org/drawingml/2006/main">
          <a:off x="0" y="2458771"/>
          <a:ext cx="5612130" cy="1987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x-none" sz="1200" b="1">
              <a:latin typeface="Times New Roman" panose="02020603050405020304" pitchFamily="18" charset="0"/>
              <a:cs typeface="Times New Roman" panose="02020603050405020304" pitchFamily="18" charset="0"/>
            </a:rPr>
            <a:t>Fuente: Banco Mundial</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0.90775</cdr:y>
    </cdr:from>
    <cdr:to>
      <cdr:x>1</cdr:x>
      <cdr:y>1</cdr:y>
    </cdr:to>
    <cdr:sp macro="" textlink="">
      <cdr:nvSpPr>
        <cdr:cNvPr id="2" name="Text Box 1"/>
        <cdr:cNvSpPr txBox="1"/>
      </cdr:nvSpPr>
      <cdr:spPr>
        <a:xfrm xmlns:a="http://schemas.openxmlformats.org/drawingml/2006/main">
          <a:off x="0" y="2628482"/>
          <a:ext cx="5612130" cy="267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x-none" sz="1200" b="1">
              <a:latin typeface="Times New Roman" panose="02020603050405020304" pitchFamily="18" charset="0"/>
              <a:cs typeface="Times New Roman" panose="02020603050405020304" pitchFamily="18" charset="0"/>
            </a:rPr>
            <a:t>Fuente:</a:t>
          </a:r>
          <a:r>
            <a:rPr lang="x-none" sz="1200" b="1" baseline="0">
              <a:latin typeface="Times New Roman" panose="02020603050405020304" pitchFamily="18" charset="0"/>
              <a:cs typeface="Times New Roman" panose="02020603050405020304" pitchFamily="18" charset="0"/>
            </a:rPr>
            <a:t> Banco Mundial</a:t>
          </a:r>
          <a:endParaRPr lang="x-none" sz="1200" b="1">
            <a:latin typeface="Times New Roman" panose="02020603050405020304" pitchFamily="18" charset="0"/>
            <a:cs typeface="Times New Roman" panose="02020603050405020304"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0.89029</cdr:y>
    </cdr:from>
    <cdr:to>
      <cdr:x>1</cdr:x>
      <cdr:y>0.98092</cdr:y>
    </cdr:to>
    <cdr:sp macro="" textlink="">
      <cdr:nvSpPr>
        <cdr:cNvPr id="2" name="Text Box 1"/>
        <cdr:cNvSpPr txBox="1"/>
      </cdr:nvSpPr>
      <cdr:spPr>
        <a:xfrm xmlns:a="http://schemas.openxmlformats.org/drawingml/2006/main">
          <a:off x="0" y="2221755"/>
          <a:ext cx="5612130" cy="226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x-none" sz="1200" b="1">
              <a:latin typeface="Times New Roman" panose="02020603050405020304" pitchFamily="18" charset="0"/>
              <a:cs typeface="Times New Roman" panose="02020603050405020304" pitchFamily="18" charset="0"/>
            </a:rPr>
            <a:t>Fuente:</a:t>
          </a:r>
          <a:r>
            <a:rPr lang="x-none" sz="1200" b="1" baseline="0">
              <a:latin typeface="Times New Roman" panose="02020603050405020304" pitchFamily="18" charset="0"/>
              <a:cs typeface="Times New Roman" panose="02020603050405020304" pitchFamily="18" charset="0"/>
            </a:rPr>
            <a:t> Banco Mundial</a:t>
          </a:r>
          <a:endParaRPr lang="x-none"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13</Pages>
  <Words>2801</Words>
  <Characters>15407</Characters>
  <Application>Microsoft Macintosh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Flores</dc:creator>
  <cp:keywords/>
  <dc:description/>
  <cp:lastModifiedBy>Usuario de Microsoft Office</cp:lastModifiedBy>
  <cp:revision>11</cp:revision>
  <cp:lastPrinted>2019-03-13T16:02:00Z</cp:lastPrinted>
  <dcterms:created xsi:type="dcterms:W3CDTF">2019-03-13T12:53:00Z</dcterms:created>
  <dcterms:modified xsi:type="dcterms:W3CDTF">2019-03-23T18:12:00Z</dcterms:modified>
</cp:coreProperties>
</file>